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AE1C5C" w:rsidRDefault="00F6213F" w:rsidP="00F6213F">
      <w:pPr>
        <w:ind w:firstLine="709"/>
        <w:jc w:val="center"/>
        <w:rPr>
          <w:b/>
          <w:bCs/>
          <w:color w:val="auto"/>
        </w:rPr>
      </w:pPr>
      <w:r w:rsidRPr="00AE1C5C">
        <w:rPr>
          <w:b/>
          <w:bCs/>
          <w:color w:val="auto"/>
        </w:rPr>
        <w:t xml:space="preserve">Подпрограмма </w:t>
      </w:r>
      <w:r w:rsidR="00FE63DB" w:rsidRPr="00AE1C5C">
        <w:rPr>
          <w:b/>
          <w:bCs/>
          <w:color w:val="auto"/>
        </w:rPr>
        <w:t>3</w:t>
      </w:r>
      <w:r w:rsidRPr="00AE1C5C">
        <w:rPr>
          <w:b/>
          <w:bCs/>
          <w:color w:val="auto"/>
        </w:rPr>
        <w:t>. «</w:t>
      </w:r>
      <w:r w:rsidR="00FE63DB" w:rsidRPr="00AE1C5C">
        <w:rPr>
          <w:b/>
          <w:bCs/>
          <w:color w:val="auto"/>
        </w:rPr>
        <w:t>Развитие профессионального образования</w:t>
      </w:r>
      <w:r w:rsidRPr="00AE1C5C">
        <w:rPr>
          <w:b/>
          <w:bCs/>
          <w:color w:val="auto"/>
        </w:rPr>
        <w:t>»</w:t>
      </w:r>
    </w:p>
    <w:p w:rsidR="00F6213F" w:rsidRPr="00AE1C5C" w:rsidRDefault="00F6213F" w:rsidP="00F6213F">
      <w:pPr>
        <w:rPr>
          <w:color w:val="auto"/>
        </w:rPr>
      </w:pPr>
    </w:p>
    <w:p w:rsidR="00F6213F" w:rsidRPr="00AE1C5C" w:rsidRDefault="00F6213F" w:rsidP="00F6213F">
      <w:pPr>
        <w:ind w:firstLine="709"/>
        <w:rPr>
          <w:b/>
          <w:bCs/>
          <w:color w:val="auto"/>
        </w:rPr>
      </w:pPr>
      <w:r w:rsidRPr="00AE1C5C">
        <w:rPr>
          <w:b/>
          <w:bCs/>
          <w:color w:val="auto"/>
        </w:rPr>
        <w:t>Раздел 2 отчета.</w:t>
      </w:r>
    </w:p>
    <w:p w:rsidR="00F6213F" w:rsidRDefault="00F6213F" w:rsidP="0070174E">
      <w:pPr>
        <w:ind w:firstLine="709"/>
        <w:rPr>
          <w:b/>
          <w:bCs/>
          <w:color w:val="auto"/>
        </w:rPr>
      </w:pPr>
      <w:r w:rsidRPr="00AE1C5C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DD4BCE" w:rsidRPr="00AE1C5C" w:rsidRDefault="00DD4BCE" w:rsidP="0070174E">
      <w:pPr>
        <w:ind w:firstLine="709"/>
        <w:rPr>
          <w:b/>
          <w:bCs/>
          <w:i/>
          <w:iCs/>
          <w:color w:val="auto"/>
        </w:rPr>
      </w:pPr>
    </w:p>
    <w:p w:rsidR="00FE63DB" w:rsidRPr="00AE1C5C" w:rsidRDefault="00FE63DB" w:rsidP="00FE63DB">
      <w:pPr>
        <w:ind w:firstLine="709"/>
        <w:jc w:val="both"/>
      </w:pPr>
      <w:r w:rsidRPr="00AE1C5C">
        <w:t>В 201</w:t>
      </w:r>
      <w:r w:rsidR="00306004" w:rsidRPr="00AE1C5C">
        <w:t>9</w:t>
      </w:r>
      <w:r w:rsidRPr="00AE1C5C">
        <w:t xml:space="preserve"> году в рамках Подпрограммы:</w:t>
      </w:r>
    </w:p>
    <w:p w:rsidR="00FE63DB" w:rsidRPr="00AE1C5C" w:rsidRDefault="00FE63DB" w:rsidP="00FE63DB">
      <w:pPr>
        <w:ind w:firstLine="709"/>
        <w:jc w:val="both"/>
      </w:pPr>
      <w:r w:rsidRPr="00AE1C5C">
        <w:t>- подготовка специалистов по образовательным программам среднего профессионального образования осуществлялась в 59 образовательных организациях, подведомственных министерству образования, науки и молодежной политики Нижегородской области, а именно: в 58 профессиональных образовательных организациях и 1 образовательной организации высшего образования (ГБОУ ВО "Нижегородский государственный инженерно-экономический университет");</w:t>
      </w:r>
    </w:p>
    <w:p w:rsidR="00FE63DB" w:rsidRPr="00AE1C5C" w:rsidRDefault="00FE63DB" w:rsidP="00FE63DB">
      <w:pPr>
        <w:ind w:firstLine="709"/>
        <w:jc w:val="both"/>
      </w:pPr>
      <w:r w:rsidRPr="00AE1C5C">
        <w:t>- в ходе заседания межведомственной комиссии при участии представителей органов исполнительной власти Нижегородской области, профессионально-отраслевых общественных ассо</w:t>
      </w:r>
      <w:r w:rsidR="00824017" w:rsidRPr="00AE1C5C">
        <w:t xml:space="preserve">циаций и сообществ, инвесторов, </w:t>
      </w:r>
      <w:r w:rsidRPr="00AE1C5C">
        <w:t>предприятий и организаций, образовательных организаций высшего образования, осуществляющих образовательную деятельность на территории Нижегородской области, органов местного самоуправления муниципальных районов и городских округов Нижегородской области проведено согласование структуры, профилей и объемов приема и выпуска специалистов по программам подготовки квалифицированных рабочих, служащих, программам подготовки специалистов среднего звена с учетом текущих и перспективных потребностей рынка труда на 20</w:t>
      </w:r>
      <w:r w:rsidR="00D37566" w:rsidRPr="00AE1C5C">
        <w:t>20</w:t>
      </w:r>
      <w:r w:rsidRPr="00AE1C5C">
        <w:t xml:space="preserve"> год в рамках бюджетного финансирования;</w:t>
      </w:r>
    </w:p>
    <w:p w:rsidR="00FE63DB" w:rsidRPr="00AE1C5C" w:rsidRDefault="00FE63DB" w:rsidP="00FE63DB">
      <w:pPr>
        <w:ind w:firstLine="709"/>
        <w:jc w:val="both"/>
      </w:pPr>
      <w:r w:rsidRPr="00AE1C5C">
        <w:t>- на базе профессиональных образовательных организаций создано 2 специализированных центра компетенций, аккредитованных по стандартам Ворлдскиллс</w:t>
      </w:r>
      <w:r w:rsidR="00D37566" w:rsidRPr="00AE1C5C">
        <w:t>.</w:t>
      </w:r>
      <w:r w:rsidRPr="00AE1C5C">
        <w:t xml:space="preserve"> </w:t>
      </w:r>
    </w:p>
    <w:p w:rsidR="00FE63DB" w:rsidRPr="00AE1C5C" w:rsidRDefault="00257BA6" w:rsidP="00FE63DB">
      <w:pPr>
        <w:ind w:firstLine="709"/>
        <w:jc w:val="both"/>
      </w:pPr>
      <w:r w:rsidRPr="00AE1C5C">
        <w:t>В</w:t>
      </w:r>
      <w:r w:rsidR="00FE63DB" w:rsidRPr="00AE1C5C">
        <w:t xml:space="preserve"> целях реализации концепции многоуровневой системы профориентационной работы и соответствующего плана мероприятий (</w:t>
      </w:r>
      <w:r w:rsidR="00824017" w:rsidRPr="00AE1C5C">
        <w:t>«</w:t>
      </w:r>
      <w:r w:rsidR="00FE63DB" w:rsidRPr="00AE1C5C">
        <w:t>дорожной карты</w:t>
      </w:r>
      <w:r w:rsidR="00824017" w:rsidRPr="00AE1C5C">
        <w:t>»</w:t>
      </w:r>
      <w:r w:rsidR="00FE63DB" w:rsidRPr="00AE1C5C">
        <w:t>) по развитию системы профессиональной ориентации в Нижегородской области на 2016-2020 годы организованы и проведены мероприятия по профессиональной ориентации обучающихся и молодых граждан с учетом возрастных особенностей целевой аудитории. В 201</w:t>
      </w:r>
      <w:r w:rsidR="00D37566" w:rsidRPr="00AE1C5C">
        <w:t>9</w:t>
      </w:r>
      <w:r w:rsidR="00FE63DB" w:rsidRPr="00AE1C5C">
        <w:t xml:space="preserve"> году одними из самых эффективных и массовых моделей в регионе по-прежнему остаются:</w:t>
      </w:r>
    </w:p>
    <w:p w:rsidR="00FE63DB" w:rsidRPr="00AE1C5C" w:rsidRDefault="00FE63DB" w:rsidP="00FE63DB">
      <w:pPr>
        <w:ind w:firstLine="709"/>
        <w:jc w:val="both"/>
      </w:pPr>
      <w:r w:rsidRPr="00AE1C5C">
        <w:t>- участие обучающихся общеобразовательных организаций региона в профориентационных мероприятий в рамках Регионального чемпионата «Молодые профессионалы» (Ворлдскиллс Россия);</w:t>
      </w:r>
    </w:p>
    <w:p w:rsidR="00FE63DB" w:rsidRPr="00AE1C5C" w:rsidRDefault="00FE63DB" w:rsidP="00FE63DB">
      <w:pPr>
        <w:ind w:firstLine="709"/>
        <w:jc w:val="both"/>
      </w:pPr>
      <w:r w:rsidRPr="00AE1C5C">
        <w:t>- участие обучающихся общеобразовательных организаций региона в областном конкурсе проектных и исследовательских работ «Моя профессиональная карьера»;</w:t>
      </w:r>
    </w:p>
    <w:p w:rsidR="00FE63DB" w:rsidRPr="00AE1C5C" w:rsidRDefault="00FE63DB" w:rsidP="00FE63DB">
      <w:pPr>
        <w:ind w:firstLine="709"/>
        <w:jc w:val="both"/>
      </w:pPr>
      <w:r w:rsidRPr="00AE1C5C">
        <w:t>- участие обучающихся общеобразовательных организаций региона в областных профориентационных выставках-ярмарках «Твой выбор - твои возможности».</w:t>
      </w:r>
    </w:p>
    <w:p w:rsidR="00FE63DB" w:rsidRPr="00AE1C5C" w:rsidRDefault="00D37566" w:rsidP="00FE63DB">
      <w:pPr>
        <w:ind w:firstLine="709"/>
        <w:jc w:val="both"/>
      </w:pPr>
      <w:r w:rsidRPr="00AE1C5C">
        <w:t xml:space="preserve">В 2019 году опыт Нижегородской области был </w:t>
      </w:r>
      <w:r w:rsidR="00FE63DB" w:rsidRPr="00AE1C5C">
        <w:t xml:space="preserve">представлен на Международном конгрессе-выставке "Global education – образование без границ", где особый интерес у участников конгресса вызвала специализированная экспозиция достижений образовательных организаций субъектов Российской Федерации, в том числе Нижегородской области, по созданию </w:t>
      </w:r>
      <w:r w:rsidRPr="00AE1C5C">
        <w:t xml:space="preserve">мастерских, оснащенных </w:t>
      </w:r>
      <w:r w:rsidR="00FE63DB" w:rsidRPr="00AE1C5C">
        <w:t>современн</w:t>
      </w:r>
      <w:r w:rsidRPr="00AE1C5C">
        <w:t>ым</w:t>
      </w:r>
      <w:r w:rsidR="00FE63DB" w:rsidRPr="00AE1C5C">
        <w:t xml:space="preserve"> </w:t>
      </w:r>
      <w:r w:rsidRPr="00AE1C5C">
        <w:t>оборудованием.</w:t>
      </w:r>
    </w:p>
    <w:p w:rsidR="00FE63DB" w:rsidRPr="00AE1C5C" w:rsidRDefault="00FE63DB" w:rsidP="00FE63DB">
      <w:pPr>
        <w:ind w:firstLine="709"/>
        <w:jc w:val="both"/>
      </w:pPr>
      <w:r w:rsidRPr="00AE1C5C">
        <w:t>В рамках регионального этапа Всероссийской олимпиады профессионального мастерства обучающихся по специальностям среднего</w:t>
      </w:r>
      <w:r w:rsidR="001B0618" w:rsidRPr="00AE1C5C">
        <w:t xml:space="preserve"> профессионального образования </w:t>
      </w:r>
      <w:r w:rsidRPr="00AE1C5C">
        <w:t>проводились областные олимпиады профессионального мастерства по востребованным экономикой региона профильным направлениям.</w:t>
      </w:r>
      <w:r w:rsidR="007B20AA" w:rsidRPr="00AE1C5C">
        <w:t xml:space="preserve"> </w:t>
      </w:r>
      <w:r w:rsidRPr="00AE1C5C">
        <w:t>Участниками областных олимпиад стали более 300 студентов профессиональн</w:t>
      </w:r>
      <w:r w:rsidR="001B0618" w:rsidRPr="00AE1C5C">
        <w:t>ых образовательных организаций.</w:t>
      </w:r>
    </w:p>
    <w:p w:rsidR="00FE63DB" w:rsidRPr="00AE1C5C" w:rsidRDefault="00FE63DB" w:rsidP="00FE63DB">
      <w:pPr>
        <w:ind w:firstLine="709"/>
        <w:jc w:val="both"/>
      </w:pPr>
      <w:r w:rsidRPr="00AE1C5C">
        <w:t>В 201</w:t>
      </w:r>
      <w:r w:rsidR="007B20AA" w:rsidRPr="00AE1C5C">
        <w:t>9</w:t>
      </w:r>
      <w:r w:rsidRPr="00AE1C5C">
        <w:t xml:space="preserve"> году победители и призеры V</w:t>
      </w:r>
      <w:r w:rsidR="007B20AA" w:rsidRPr="00AE1C5C">
        <w:rPr>
          <w:lang w:val="en-US"/>
        </w:rPr>
        <w:t>II</w:t>
      </w:r>
      <w:r w:rsidRPr="00AE1C5C">
        <w:t xml:space="preserve"> Регионального чемпионата "Молодые профессионалы" (WorldSkills Russia) - студенты образовательных организаций и молодые специалисты Нижегородской области приняли участие в Отборочных соревнованиях на право участия в </w:t>
      </w:r>
      <w:r w:rsidRPr="00AE1C5C">
        <w:lastRenderedPageBreak/>
        <w:t>Финале Национального чемпионата "Молодые профессионалы" (WorldSkills Russia). Победители Отборочных соревнований стали участниками Финала Национального чемпионата "Молодые профессионалы" (WorldSkills Russia).</w:t>
      </w:r>
    </w:p>
    <w:p w:rsidR="007B20AA" w:rsidRPr="00AE1C5C" w:rsidRDefault="00FE63DB" w:rsidP="00FE63DB">
      <w:pPr>
        <w:ind w:firstLine="709"/>
        <w:jc w:val="both"/>
      </w:pPr>
      <w:r w:rsidRPr="00AE1C5C">
        <w:t xml:space="preserve">В </w:t>
      </w:r>
      <w:r w:rsidR="007B20AA" w:rsidRPr="00AE1C5C">
        <w:t xml:space="preserve">ноябре </w:t>
      </w:r>
      <w:r w:rsidRPr="00AE1C5C">
        <w:t>201</w:t>
      </w:r>
      <w:r w:rsidR="007B20AA" w:rsidRPr="00AE1C5C">
        <w:t>9</w:t>
      </w:r>
      <w:r w:rsidR="002E61D3" w:rsidRPr="00AE1C5C">
        <w:t xml:space="preserve"> года</w:t>
      </w:r>
      <w:r w:rsidRPr="00AE1C5C">
        <w:t xml:space="preserve"> </w:t>
      </w:r>
      <w:r w:rsidR="007B20AA" w:rsidRPr="00AE1C5C">
        <w:t xml:space="preserve">состоялся </w:t>
      </w:r>
      <w:r w:rsidRPr="00AE1C5C">
        <w:t xml:space="preserve">Региональный чемпионат "Молодые профессионалы" (WorldSkills Russia) </w:t>
      </w:r>
      <w:r w:rsidR="007B20AA" w:rsidRPr="00AE1C5C">
        <w:t>по 39</w:t>
      </w:r>
      <w:r w:rsidRPr="00AE1C5C">
        <w:t xml:space="preserve"> актуальн</w:t>
      </w:r>
      <w:r w:rsidR="007B20AA" w:rsidRPr="00AE1C5C">
        <w:t>ым</w:t>
      </w:r>
      <w:r w:rsidRPr="00AE1C5C">
        <w:t xml:space="preserve"> д</w:t>
      </w:r>
      <w:r w:rsidR="007B20AA" w:rsidRPr="00AE1C5C">
        <w:t>ля экономики региона компетенциям</w:t>
      </w:r>
      <w:r w:rsidRPr="00AE1C5C">
        <w:t xml:space="preserve"> (в 201</w:t>
      </w:r>
      <w:r w:rsidR="007B20AA" w:rsidRPr="00AE1C5C">
        <w:t>8</w:t>
      </w:r>
      <w:r w:rsidRPr="00AE1C5C">
        <w:t xml:space="preserve"> году – по </w:t>
      </w:r>
      <w:r w:rsidR="007B20AA" w:rsidRPr="00AE1C5C">
        <w:t>31</w:t>
      </w:r>
      <w:r w:rsidRPr="00AE1C5C">
        <w:t xml:space="preserve"> компетенци</w:t>
      </w:r>
      <w:r w:rsidR="007B20AA" w:rsidRPr="00AE1C5C">
        <w:t>и</w:t>
      </w:r>
      <w:r w:rsidRPr="00AE1C5C">
        <w:t>) на площадках, расположенных на территории В</w:t>
      </w:r>
      <w:r w:rsidR="00AC7325" w:rsidRPr="00AE1C5C">
        <w:t>ЗАО «Нижегородская я</w:t>
      </w:r>
      <w:r w:rsidRPr="00AE1C5C">
        <w:t>рмарка» и базах профессиональных образовательных организаций региона.</w:t>
      </w:r>
      <w:r w:rsidR="007B20AA" w:rsidRPr="00AE1C5C">
        <w:t xml:space="preserve"> </w:t>
      </w:r>
    </w:p>
    <w:p w:rsidR="00080520" w:rsidRPr="00AE1C5C" w:rsidRDefault="00FE63DB" w:rsidP="00FE63DB">
      <w:pPr>
        <w:ind w:firstLine="709"/>
        <w:jc w:val="both"/>
      </w:pPr>
      <w:r w:rsidRPr="00AE1C5C">
        <w:t xml:space="preserve">В рамках празднования Дня Российской науки проведено торжественное вручение Почетных грамот министерства образования, науки и молодежной политики Нижегородской области </w:t>
      </w:r>
      <w:r w:rsidR="008A32B8" w:rsidRPr="00AE1C5C">
        <w:t xml:space="preserve">37 </w:t>
      </w:r>
      <w:r w:rsidRPr="00AE1C5C">
        <w:t>представителям образовательных организаций высшего образования и научных организаций, достигших зна</w:t>
      </w:r>
      <w:r w:rsidR="00080520" w:rsidRPr="00AE1C5C">
        <w:t>чимых успехов в научной работе.</w:t>
      </w:r>
    </w:p>
    <w:p w:rsidR="00FE63DB" w:rsidRPr="00AE1C5C" w:rsidRDefault="00FE63DB" w:rsidP="00FE63DB">
      <w:pPr>
        <w:ind w:firstLine="709"/>
        <w:jc w:val="both"/>
      </w:pPr>
      <w:r w:rsidRPr="00AE1C5C">
        <w:t>Проведен V</w:t>
      </w:r>
      <w:r w:rsidR="00306004" w:rsidRPr="00AE1C5C">
        <w:rPr>
          <w:lang w:val="en-US"/>
        </w:rPr>
        <w:t>I</w:t>
      </w:r>
      <w:r w:rsidRPr="00AE1C5C">
        <w:t xml:space="preserve"> региональный робототехнический фестиваль "РобоФест – Нижний Новгород". Участниками стали более 650 школьников и студентов Нижегородской области, </w:t>
      </w:r>
      <w:r w:rsidR="00306004" w:rsidRPr="00AE1C5C">
        <w:t>других регионов России</w:t>
      </w:r>
      <w:r w:rsidRPr="00AE1C5C">
        <w:t>. Победители и призеры фестиваля представляли Нижегородскую область на X</w:t>
      </w:r>
      <w:r w:rsidR="00306004" w:rsidRPr="00AE1C5C">
        <w:rPr>
          <w:lang w:val="en-US"/>
        </w:rPr>
        <w:t>I</w:t>
      </w:r>
      <w:r w:rsidRPr="00AE1C5C">
        <w:t xml:space="preserve"> Всероссийском робототехническом </w:t>
      </w:r>
      <w:r w:rsidR="00306004" w:rsidRPr="00AE1C5C">
        <w:t>фестивале</w:t>
      </w:r>
      <w:r w:rsidR="005F528C" w:rsidRPr="00AE1C5C">
        <w:t xml:space="preserve"> (</w:t>
      </w:r>
      <w:r w:rsidRPr="00AE1C5C">
        <w:t>г. Москва</w:t>
      </w:r>
      <w:r w:rsidR="00306004" w:rsidRPr="00AE1C5C">
        <w:t>, г. Пермь</w:t>
      </w:r>
      <w:r w:rsidR="005F528C" w:rsidRPr="00AE1C5C">
        <w:t>)</w:t>
      </w:r>
      <w:r w:rsidRPr="00AE1C5C">
        <w:t>. В организации фестиваля активное участие приняли крупнейшие предприятия Нижегородско</w:t>
      </w:r>
      <w:r w:rsidR="00DB6608" w:rsidRPr="00AE1C5C">
        <w:t xml:space="preserve">й области, </w:t>
      </w:r>
      <w:r w:rsidR="00583A58" w:rsidRPr="00AE1C5C">
        <w:t xml:space="preserve">такие как Группа ГАЗ, </w:t>
      </w:r>
      <w:r w:rsidRPr="00AE1C5C">
        <w:t>а также ведущие вузы Нижегородской области: ННГУ им. Н.И.Лобачевского, НГТУ им. Р.Е.Алексеева.</w:t>
      </w:r>
    </w:p>
    <w:p w:rsidR="00FE63DB" w:rsidRPr="00AE1C5C" w:rsidRDefault="00FE63DB" w:rsidP="00FE63DB">
      <w:pPr>
        <w:ind w:firstLine="709"/>
        <w:jc w:val="both"/>
      </w:pPr>
      <w:r w:rsidRPr="00AE1C5C">
        <w:t>ГБОУ ВО НГИЭУ проведен областной конкурс профессионального мастерства "Империя вкуса", в котором приняли у</w:t>
      </w:r>
      <w:r w:rsidR="00E10191" w:rsidRPr="00AE1C5C">
        <w:t xml:space="preserve">частие 40 студентов из 18 ПОО, </w:t>
      </w:r>
      <w:r w:rsidRPr="00AE1C5C">
        <w:t xml:space="preserve">победителям конкурса вручены грамоты и благодарственные письма. </w:t>
      </w:r>
    </w:p>
    <w:p w:rsidR="00456301" w:rsidRPr="00AE1C5C" w:rsidRDefault="00456301" w:rsidP="00456301">
      <w:pPr>
        <w:ind w:firstLine="709"/>
        <w:jc w:val="both"/>
      </w:pPr>
      <w:r w:rsidRPr="00AE1C5C">
        <w:t>В соответствии с постановлением Правительства Российской Федерации от 30 апреля 2019 г. № 537 «О мерах государственной поддержки научно-образовательных центров мирового уровня на основе интеграции образовательных организаций высшего образования и научных организаций и их кооперации с организациями, действующими в реальном секторе экономики» (далее – Постановление), в 2019 году Нижегородская область, наряду с Пермским краем, Белгородской, Кемеровской и Тюменской областями, определена как регион, в котором создается научно-образовательный центр</w:t>
      </w:r>
      <w:r w:rsidR="00745AB6" w:rsidRPr="00AE1C5C">
        <w:t xml:space="preserve"> мирового уровня (далее – НОЦ) </w:t>
      </w:r>
      <w:r w:rsidRPr="00AE1C5C">
        <w:t xml:space="preserve">без проведения конкурсного отбора. </w:t>
      </w:r>
    </w:p>
    <w:p w:rsidR="00456301" w:rsidRPr="00AE1C5C" w:rsidRDefault="00C32135" w:rsidP="00456301">
      <w:pPr>
        <w:ind w:firstLine="709"/>
        <w:jc w:val="both"/>
      </w:pPr>
      <w:r w:rsidRPr="00AE1C5C">
        <w:t xml:space="preserve">Цель создания - </w:t>
      </w:r>
      <w:r w:rsidR="00456301" w:rsidRPr="00AE1C5C">
        <w:t>обеспечение роста рыночной доли региональных и отечественных предприятий на мировых рынках товаров и услуг, подготовка высококвалифицированных кадров для промышленных предприятий и увеличение экспорта технологий и образовательных услуг путем создания экосистемы технологического трансфера инновационных разработок мирового уровня.</w:t>
      </w:r>
    </w:p>
    <w:p w:rsidR="00456301" w:rsidRPr="00AE1C5C" w:rsidRDefault="00456301" w:rsidP="00456301">
      <w:pPr>
        <w:ind w:firstLine="709"/>
        <w:jc w:val="both"/>
      </w:pPr>
      <w:r w:rsidRPr="00AE1C5C">
        <w:t>Для реализации организационно-управленческих решений в части деятельности Нижегородского НОЦ «Техноплатформа – 2035» в регионе создан Наблюдательный совет, возглавляемый Губернатором Нижегородск</w:t>
      </w:r>
      <w:r w:rsidR="00FE25D8" w:rsidRPr="00AE1C5C">
        <w:t>ой области. Основной площадкой-</w:t>
      </w:r>
      <w:r w:rsidRPr="00AE1C5C">
        <w:t>интегратором проекта</w:t>
      </w:r>
      <w:r w:rsidR="00E10191" w:rsidRPr="00AE1C5C">
        <w:t xml:space="preserve"> по созданию и развитию центра </w:t>
      </w:r>
      <w:r w:rsidRPr="00AE1C5C">
        <w:t xml:space="preserve">является АНО «Управляющая компания НОЦ». </w:t>
      </w:r>
    </w:p>
    <w:p w:rsidR="00456301" w:rsidRPr="00AE1C5C" w:rsidRDefault="00456301" w:rsidP="00456301">
      <w:pPr>
        <w:ind w:firstLine="709"/>
        <w:jc w:val="both"/>
      </w:pPr>
      <w:r w:rsidRPr="00AE1C5C">
        <w:t xml:space="preserve">Направления деятельности: </w:t>
      </w:r>
    </w:p>
    <w:p w:rsidR="00456301" w:rsidRPr="00AE1C5C" w:rsidRDefault="00456301" w:rsidP="00456301">
      <w:pPr>
        <w:ind w:firstLine="709"/>
        <w:jc w:val="both"/>
      </w:pPr>
      <w:r w:rsidRPr="00AE1C5C">
        <w:t>1. Инновационные производства, компоненты и материалы</w:t>
      </w:r>
      <w:r w:rsidR="000F3C35" w:rsidRPr="00AE1C5C">
        <w:t>;</w:t>
      </w:r>
    </w:p>
    <w:p w:rsidR="00456301" w:rsidRPr="00AE1C5C" w:rsidRDefault="00456301" w:rsidP="00456301">
      <w:pPr>
        <w:ind w:firstLine="709"/>
        <w:jc w:val="both"/>
      </w:pPr>
      <w:r w:rsidRPr="00AE1C5C">
        <w:t>2.</w:t>
      </w:r>
      <w:r w:rsidR="00C32135" w:rsidRPr="00AE1C5C">
        <w:t xml:space="preserve"> </w:t>
      </w:r>
      <w:r w:rsidRPr="00AE1C5C">
        <w:t>Интеллектуальные транспортные системы</w:t>
      </w:r>
      <w:r w:rsidR="000F3C35" w:rsidRPr="00AE1C5C">
        <w:t>;</w:t>
      </w:r>
    </w:p>
    <w:p w:rsidR="00456301" w:rsidRPr="00AE1C5C" w:rsidRDefault="00456301" w:rsidP="00456301">
      <w:pPr>
        <w:ind w:firstLine="709"/>
        <w:jc w:val="both"/>
      </w:pPr>
      <w:r w:rsidRPr="00AE1C5C">
        <w:t>3.</w:t>
      </w:r>
      <w:r w:rsidR="00C32135" w:rsidRPr="00AE1C5C">
        <w:t xml:space="preserve"> </w:t>
      </w:r>
      <w:r w:rsidRPr="00AE1C5C">
        <w:t>Высокотехнологичная персонализированная медицина и медицинское приборостроение: ядерная персонализированная медицина, аддитивные технологии, инновационное медицинское приборостроение</w:t>
      </w:r>
      <w:r w:rsidR="000F3C35" w:rsidRPr="00AE1C5C">
        <w:t>;</w:t>
      </w:r>
    </w:p>
    <w:p w:rsidR="00456301" w:rsidRPr="00AE1C5C" w:rsidRDefault="00456301" w:rsidP="00456301">
      <w:pPr>
        <w:ind w:firstLine="709"/>
        <w:jc w:val="both"/>
      </w:pPr>
      <w:r w:rsidRPr="00AE1C5C">
        <w:t>4.</w:t>
      </w:r>
      <w:r w:rsidR="00C32135" w:rsidRPr="00AE1C5C">
        <w:t xml:space="preserve"> </w:t>
      </w:r>
      <w:r w:rsidRPr="00AE1C5C">
        <w:t>Передовые цифровые технологии</w:t>
      </w:r>
      <w:r w:rsidR="000F3C35" w:rsidRPr="00AE1C5C">
        <w:t>;</w:t>
      </w:r>
    </w:p>
    <w:p w:rsidR="000F3C35" w:rsidRPr="00AE1C5C" w:rsidRDefault="00456301" w:rsidP="00456301">
      <w:pPr>
        <w:ind w:firstLine="709"/>
        <w:jc w:val="both"/>
      </w:pPr>
      <w:r w:rsidRPr="00AE1C5C">
        <w:t>5.</w:t>
      </w:r>
      <w:r w:rsidR="004C6E5F" w:rsidRPr="00AE1C5C">
        <w:t xml:space="preserve"> </w:t>
      </w:r>
      <w:r w:rsidRPr="00AE1C5C">
        <w:t>Экология и ликвидация накопленного экологического ущерба</w:t>
      </w:r>
      <w:r w:rsidR="000F3C35" w:rsidRPr="00AE1C5C">
        <w:t>.</w:t>
      </w:r>
    </w:p>
    <w:p w:rsidR="00FE63DB" w:rsidRPr="00AE1C5C" w:rsidRDefault="004D2910" w:rsidP="00456301">
      <w:pPr>
        <w:ind w:firstLine="709"/>
        <w:jc w:val="both"/>
      </w:pPr>
      <w:r w:rsidRPr="00AE1C5C">
        <w:t>В течение года в рамках национального проекта</w:t>
      </w:r>
      <w:r w:rsidR="007232BE" w:rsidRPr="00AE1C5C">
        <w:t xml:space="preserve"> «Наука» проводилась работа по формированию программы деятельност</w:t>
      </w:r>
      <w:r w:rsidR="000F3C35" w:rsidRPr="00AE1C5C">
        <w:t xml:space="preserve">и НОЦ, подготовке и проведению </w:t>
      </w:r>
      <w:r w:rsidR="007232BE" w:rsidRPr="00AE1C5C">
        <w:t>ее защиты на Совете НОЦ под председательством Т.А.Голиковой, подготовке нормативных документов по вопросу вхождения в состав учредителей АНО «Управляющая компания НОЦ», решению других вопросов, связанных с НОЦ.</w:t>
      </w:r>
    </w:p>
    <w:p w:rsidR="00FE63DB" w:rsidRPr="00AE1C5C" w:rsidRDefault="00FE63DB" w:rsidP="00FE63DB">
      <w:pPr>
        <w:ind w:firstLine="709"/>
        <w:jc w:val="both"/>
      </w:pPr>
      <w:r w:rsidRPr="00AE1C5C">
        <w:lastRenderedPageBreak/>
        <w:t>Проведена Международная научно-практическая конференция "Актуальные направления развития техники и технологий в России и за рубежом – реалии, возможности, перспективы", в которой приняли участие 126 человек из 9 образовательных организаций СПО и 10 высших учебных заведений России и зарубежья.</w:t>
      </w:r>
    </w:p>
    <w:p w:rsidR="00FE63DB" w:rsidRPr="00AE1C5C" w:rsidRDefault="00FE63DB" w:rsidP="00FE63DB">
      <w:pPr>
        <w:ind w:firstLine="709"/>
        <w:jc w:val="both"/>
      </w:pPr>
      <w:r w:rsidRPr="00AE1C5C">
        <w:t xml:space="preserve">Лукояновским педагогическим колледжем им. А.М.Горького проведена Научно-практическая конференция педагогических работников "Педагогические чтения имени А.А. Куманева", в которой приняли участие около </w:t>
      </w:r>
      <w:r w:rsidR="00567B9F" w:rsidRPr="00AE1C5C">
        <w:t>97 участников из 28</w:t>
      </w:r>
      <w:r w:rsidRPr="00AE1C5C">
        <w:t xml:space="preserve"> образовательных организаций Нижегородской области. Все участники отметили высокий организационный и содержательный уровень мероприятия.</w:t>
      </w:r>
    </w:p>
    <w:p w:rsidR="00FE63DB" w:rsidRPr="00AE1C5C" w:rsidRDefault="00FE63DB" w:rsidP="00FE63DB">
      <w:pPr>
        <w:ind w:firstLine="709"/>
        <w:jc w:val="both"/>
      </w:pPr>
      <w:r w:rsidRPr="00AE1C5C">
        <w:t>ГБОУ ВО НГИЭУ проведен X</w:t>
      </w:r>
      <w:r w:rsidR="007232BE" w:rsidRPr="00AE1C5C">
        <w:rPr>
          <w:lang w:val="en-US"/>
        </w:rPr>
        <w:t>I</w:t>
      </w:r>
      <w:r w:rsidRPr="00AE1C5C">
        <w:t xml:space="preserve"> Областной поэтический конкурс им. А.И. Люкина "Жизнь с открытым сердцем", в котором приняли участие около 300 студентов и школьников из образовательных организаций Нижегородской области, члены Союза журналистов и писателей Нижегородской области, журналисты ведущих периодических изданий Нижегородской области. Все участники отметили высокий организационный и содержательный уровень мероприятия. </w:t>
      </w:r>
    </w:p>
    <w:p w:rsidR="00FE63DB" w:rsidRPr="00AE1C5C" w:rsidRDefault="00FE63DB" w:rsidP="00FE63DB">
      <w:pPr>
        <w:ind w:firstLine="709"/>
        <w:jc w:val="both"/>
      </w:pPr>
      <w:r w:rsidRPr="00AE1C5C">
        <w:t>ГБПОУ КНТ им. Б.И.Корнилова проведена областная олимпиада по химии среди студентов 1, 2 курсов ПОО Нижегородской обла</w:t>
      </w:r>
      <w:r w:rsidR="00567B9F" w:rsidRPr="00AE1C5C">
        <w:t>сти, в которой приняли участие 3</w:t>
      </w:r>
      <w:r w:rsidRPr="00AE1C5C">
        <w:t xml:space="preserve">2 студента из </w:t>
      </w:r>
      <w:r w:rsidR="00567B9F" w:rsidRPr="00AE1C5C">
        <w:t xml:space="preserve">11 </w:t>
      </w:r>
      <w:r w:rsidRPr="00AE1C5C">
        <w:t>профессиональных образовательных организаций Нижегородской области. 6 победителей и призеров по двум номинациям награждены дипломами и сертификатами ООО "</w:t>
      </w:r>
      <w:r w:rsidR="00253AFC" w:rsidRPr="00AE1C5C">
        <w:t>ЛУКОЙЛ-</w:t>
      </w:r>
      <w:r w:rsidR="00567B9F" w:rsidRPr="00AE1C5C">
        <w:rPr>
          <w:shd w:val="clear" w:color="auto" w:fill="FFFFFF"/>
        </w:rPr>
        <w:t>Нижегороднефтеоргсинтез</w:t>
      </w:r>
      <w:r w:rsidRPr="00AE1C5C">
        <w:t>".</w:t>
      </w:r>
    </w:p>
    <w:p w:rsidR="00FE63DB" w:rsidRPr="00AE1C5C" w:rsidRDefault="00FE63DB" w:rsidP="00FE63DB">
      <w:pPr>
        <w:ind w:firstLine="709"/>
        <w:jc w:val="both"/>
      </w:pPr>
      <w:r w:rsidRPr="00AE1C5C">
        <w:t>В ДЮООЦ "</w:t>
      </w:r>
      <w:r w:rsidR="00FF7D83" w:rsidRPr="00AE1C5C">
        <w:t>Красный плес</w:t>
      </w:r>
      <w:r w:rsidRPr="00AE1C5C">
        <w:t>" проведена профильная смена для студентов ПОО занимающихся в объединениях в физкультурно-спортивного направления "Спартиниада", в которой приняли участие 80 студентов профессиональных образовательных организаций Нижегородской области.</w:t>
      </w:r>
    </w:p>
    <w:p w:rsidR="00FE63DB" w:rsidRPr="00AE1C5C" w:rsidRDefault="00FE63DB" w:rsidP="00812F37">
      <w:pPr>
        <w:ind w:firstLine="709"/>
        <w:jc w:val="both"/>
      </w:pPr>
      <w:r w:rsidRPr="00AE1C5C">
        <w:t>В ГБОУ ВО НГИЭУ проведена Областная культурно-патриотическая акции «Виват, Россия!». Данная акция призвана снизить уровень конфликтогенности в сфере межэтнических отношений и профилактики экстремизма и гармонизации межнациональных отношений на территории Нижегородской области, интегрировать достижения обучающихся образовательных организаций в социальное развитие региона, способствовать привлечению внимания государственных органов исполнительной власти, общественных молодежных организаций и объединений к проблемам данной категории молодежи, стимулировать социально значимую деятельность обучающихся образовательных организаций. При</w:t>
      </w:r>
      <w:r w:rsidR="00567B9F" w:rsidRPr="00AE1C5C">
        <w:t>няли участие 1</w:t>
      </w:r>
      <w:r w:rsidRPr="00AE1C5C">
        <w:t>50 студентов из образовательных организаций Нижегородской области (вузы и ПОО).</w:t>
      </w:r>
    </w:p>
    <w:p w:rsidR="00FE63DB" w:rsidRPr="00AE1C5C" w:rsidRDefault="007C0B53" w:rsidP="00FE63DB">
      <w:pPr>
        <w:ind w:firstLine="709"/>
        <w:jc w:val="both"/>
      </w:pPr>
      <w:r w:rsidRPr="00AE1C5C">
        <w:t>Проведена XXIV</w:t>
      </w:r>
      <w:r w:rsidR="00FE63DB" w:rsidRPr="00AE1C5C">
        <w:t xml:space="preserve"> Нижегородская сессия молодых ученых (технические, естественные, математические науки). В сессии приняли участие около 300 молодых специалистов, аспирантов, магистров и студентов из вузов и НИИ гг. Н.Новгорода, Сарова. Вручены призы и дипломы победителям секций: Машиностроение, материаловедение; Электроника и радиотехника, информационные технологии и системы; Энергетика; Строительство.Экология.Транспорт; Физика; Химия; Медицина, биология; Математика. По итогам сессии издан сборник докладов.</w:t>
      </w:r>
    </w:p>
    <w:p w:rsidR="007B20AA" w:rsidRPr="00AE1C5C" w:rsidRDefault="00FE63DB" w:rsidP="00FE63DB">
      <w:pPr>
        <w:ind w:firstLine="709"/>
        <w:jc w:val="both"/>
      </w:pPr>
      <w:r w:rsidRPr="00AE1C5C">
        <w:t>Нижегородским автотранспортным техникумом проведен областной смотр-конкурс профессионального мастерства среди студентов "Автопрофи-201</w:t>
      </w:r>
      <w:r w:rsidR="007B20AA" w:rsidRPr="00AE1C5C">
        <w:t>9</w:t>
      </w:r>
      <w:r w:rsidRPr="00AE1C5C">
        <w:t>". В смотре-конкурсе приняли участие студенты из 3</w:t>
      </w:r>
      <w:r w:rsidR="007B20AA" w:rsidRPr="00AE1C5C">
        <w:t>3</w:t>
      </w:r>
      <w:r w:rsidRPr="00AE1C5C">
        <w:t>-</w:t>
      </w:r>
      <w:r w:rsidR="00B70358" w:rsidRPr="00AE1C5C">
        <w:t xml:space="preserve">х образовательных организаций </w:t>
      </w:r>
      <w:r w:rsidR="00727CAC" w:rsidRPr="00AE1C5C">
        <w:t>(</w:t>
      </w:r>
      <w:r w:rsidR="00B70358" w:rsidRPr="00AE1C5C">
        <w:t>г</w:t>
      </w:r>
      <w:r w:rsidRPr="00AE1C5C">
        <w:t>.</w:t>
      </w:r>
      <w:r w:rsidR="00B70358" w:rsidRPr="00AE1C5C">
        <w:t xml:space="preserve"> </w:t>
      </w:r>
      <w:r w:rsidR="00727CAC" w:rsidRPr="00AE1C5C">
        <w:t>Н.Новгород</w:t>
      </w:r>
      <w:r w:rsidRPr="00AE1C5C">
        <w:t xml:space="preserve">, </w:t>
      </w:r>
      <w:r w:rsidR="00727CAC" w:rsidRPr="00AE1C5C">
        <w:t xml:space="preserve">Нижегородская область, </w:t>
      </w:r>
      <w:r w:rsidRPr="00AE1C5C">
        <w:t>Казань, Пенза, Смоленск, Чебокса</w:t>
      </w:r>
      <w:r w:rsidR="00727CAC" w:rsidRPr="00AE1C5C">
        <w:t>ры, Шуя).</w:t>
      </w:r>
    </w:p>
    <w:p w:rsidR="00FE63DB" w:rsidRPr="00AE1C5C" w:rsidRDefault="00FE63DB" w:rsidP="00FE63DB">
      <w:pPr>
        <w:ind w:firstLine="709"/>
        <w:jc w:val="both"/>
      </w:pPr>
      <w:r w:rsidRPr="00AE1C5C">
        <w:t>ГБОУ ВО НГИЭУ проведена Международная научно-практическая конференция "Современная наука: актуальные пр</w:t>
      </w:r>
      <w:r w:rsidR="00AA7C4F" w:rsidRPr="00AE1C5C">
        <w:t xml:space="preserve">облемы и перспективы развития". </w:t>
      </w:r>
      <w:r w:rsidRPr="00AE1C5C">
        <w:t>Приняли участие более 250 человек: студенты, аспиранты, представители работодателей, профессорско-преподавательский состав высших и средних учебных заведений.</w:t>
      </w:r>
      <w:r w:rsidR="00253AFC" w:rsidRPr="00AE1C5C">
        <w:t xml:space="preserve"> </w:t>
      </w:r>
      <w:r w:rsidRPr="00AE1C5C">
        <w:t>В рамках работы конференции осуществлялась работа 6 секций: экономические науки, технические науки, гуманитарные науки, информационные и инфокоммуникационные технологии, сервис в индустрии моды и красоты, актуальные вопросы качества и безопасности товаров и услуг в сфере торговли, общественного питания и сервиса.</w:t>
      </w:r>
      <w:r w:rsidR="00253AFC" w:rsidRPr="00AE1C5C">
        <w:t xml:space="preserve"> </w:t>
      </w:r>
      <w:r w:rsidRPr="00AE1C5C">
        <w:t>По итогам конференции вручены дипломы.</w:t>
      </w:r>
    </w:p>
    <w:p w:rsidR="00AC266B" w:rsidRPr="00AE1C5C" w:rsidRDefault="00FE63DB" w:rsidP="00AC266B">
      <w:pPr>
        <w:ind w:firstLine="709"/>
        <w:jc w:val="both"/>
      </w:pPr>
      <w:r w:rsidRPr="00AE1C5C">
        <w:t>ГБОУ ВО НГИЭУ</w:t>
      </w:r>
      <w:r w:rsidR="0038027E" w:rsidRPr="00AE1C5C">
        <w:t xml:space="preserve"> также проведены</w:t>
      </w:r>
      <w:r w:rsidR="00AC266B" w:rsidRPr="00AE1C5C">
        <w:t>:</w:t>
      </w:r>
    </w:p>
    <w:p w:rsidR="00AC266B" w:rsidRPr="00AE1C5C" w:rsidRDefault="00AC266B" w:rsidP="0042542E">
      <w:pPr>
        <w:ind w:firstLine="709"/>
        <w:jc w:val="both"/>
      </w:pPr>
      <w:r w:rsidRPr="00AE1C5C">
        <w:t>-</w:t>
      </w:r>
      <w:r w:rsidR="00FE63DB" w:rsidRPr="00AE1C5C">
        <w:t xml:space="preserve"> XXV Международная научно-практическая конференция "Социально-экономические проблемы развития муниципальных образований". </w:t>
      </w:r>
      <w:r w:rsidRPr="00AE1C5C">
        <w:lastRenderedPageBreak/>
        <w:t xml:space="preserve">Состав участников 255 человек из </w:t>
      </w:r>
      <w:r w:rsidR="001B1DE5" w:rsidRPr="00AE1C5C">
        <w:t xml:space="preserve">25 образовательных организаций </w:t>
      </w:r>
      <w:r w:rsidRPr="00AE1C5C">
        <w:t>Нижегородской, Брянской, Омской, Мурманской областей, Республики Чувашии, г. Москва, г. Санкт-Петербург, зарубежных стран Сербии, Польши, Молдовы, Германии. Источником финансирования стали собственные средства участников конференции.</w:t>
      </w:r>
      <w:r w:rsidR="0042542E" w:rsidRPr="00AE1C5C">
        <w:t xml:space="preserve"> </w:t>
      </w:r>
      <w:r w:rsidRPr="00AE1C5C">
        <w:t xml:space="preserve">Целью проведения </w:t>
      </w:r>
      <w:r w:rsidR="009B0FE7" w:rsidRPr="00AE1C5C">
        <w:t xml:space="preserve">конференции явилась апробация, </w:t>
      </w:r>
      <w:r w:rsidRPr="00AE1C5C">
        <w:t>распространение, пропаганда научных и инновационных достижений сотрудников и обучающихся Университета в различных отраслях науки и техники, развитие интеграции образования, науки и производства, установление партнерских связей Университета с другими образовательными организациями, научными организациями;</w:t>
      </w:r>
      <w:r w:rsidR="00041FD7" w:rsidRPr="00AE1C5C">
        <w:t xml:space="preserve"> </w:t>
      </w:r>
    </w:p>
    <w:p w:rsidR="00AC266B" w:rsidRPr="00AE1C5C" w:rsidRDefault="00AC266B" w:rsidP="00AC266B">
      <w:pPr>
        <w:ind w:firstLine="709"/>
        <w:jc w:val="both"/>
      </w:pPr>
      <w:r w:rsidRPr="00AE1C5C">
        <w:t>-</w:t>
      </w:r>
      <w:r w:rsidR="00C050E7" w:rsidRPr="00AE1C5C">
        <w:t xml:space="preserve"> </w:t>
      </w:r>
      <w:r w:rsidR="00041FD7" w:rsidRPr="00AE1C5C">
        <w:t>VII Областной конкурс имени   В.Г. Гузан</w:t>
      </w:r>
      <w:r w:rsidR="00F56B72" w:rsidRPr="00AE1C5C">
        <w:t>ова "Писатель с морской душой";</w:t>
      </w:r>
    </w:p>
    <w:p w:rsidR="00AC266B" w:rsidRPr="00AE1C5C" w:rsidRDefault="00AC266B" w:rsidP="00AC266B">
      <w:pPr>
        <w:ind w:firstLine="709"/>
        <w:jc w:val="both"/>
      </w:pPr>
      <w:r w:rsidRPr="00AE1C5C">
        <w:t>-</w:t>
      </w:r>
      <w:r w:rsidR="00C050E7" w:rsidRPr="00AE1C5C">
        <w:t xml:space="preserve"> </w:t>
      </w:r>
      <w:r w:rsidR="00041FD7" w:rsidRPr="00AE1C5C">
        <w:t>Областная культу</w:t>
      </w:r>
      <w:r w:rsidR="005D59EC" w:rsidRPr="00AE1C5C">
        <w:t>рно-</w:t>
      </w:r>
      <w:r w:rsidR="00041FD7" w:rsidRPr="00AE1C5C">
        <w:t>патриотическая акция "Виват, Россия!"</w:t>
      </w:r>
      <w:r w:rsidR="00F56B72" w:rsidRPr="00AE1C5C">
        <w:t>;</w:t>
      </w:r>
    </w:p>
    <w:p w:rsidR="00FE63DB" w:rsidRPr="00AE1C5C" w:rsidRDefault="00AC266B" w:rsidP="00AC266B">
      <w:pPr>
        <w:ind w:firstLine="709"/>
        <w:jc w:val="both"/>
      </w:pPr>
      <w:r w:rsidRPr="00AE1C5C">
        <w:t>-</w:t>
      </w:r>
      <w:r w:rsidR="00C050E7" w:rsidRPr="00AE1C5C">
        <w:t xml:space="preserve"> </w:t>
      </w:r>
      <w:r w:rsidR="00FC4CFA" w:rsidRPr="00AE1C5C">
        <w:t>Областной конкурс молодёжных туристических маршрутов "Диалог культур»</w:t>
      </w:r>
      <w:r w:rsidR="00F56B72" w:rsidRPr="00AE1C5C">
        <w:t>;</w:t>
      </w:r>
    </w:p>
    <w:p w:rsidR="00AC266B" w:rsidRPr="00AE1C5C" w:rsidRDefault="008A6121" w:rsidP="00AC266B">
      <w:pPr>
        <w:ind w:firstLine="709"/>
        <w:jc w:val="both"/>
      </w:pPr>
      <w:r w:rsidRPr="00AE1C5C">
        <w:t xml:space="preserve">- </w:t>
      </w:r>
      <w:r w:rsidR="00C050E7" w:rsidRPr="00AE1C5C">
        <w:t>О</w:t>
      </w:r>
      <w:r w:rsidR="00AC266B" w:rsidRPr="00AE1C5C">
        <w:t>бластной конкурс професси</w:t>
      </w:r>
      <w:r w:rsidR="00C050E7" w:rsidRPr="00AE1C5C">
        <w:t xml:space="preserve">онального мастерства «День поля - </w:t>
      </w:r>
      <w:r w:rsidR="00AC266B" w:rsidRPr="00AE1C5C">
        <w:t>2019» среди обучающихся образовательных организаций, ведущих подготовку кадров для сельского хозяйства. В Конкурсе приняли участие 16 обучающихся из</w:t>
      </w:r>
      <w:r w:rsidR="00DE78A9" w:rsidRPr="00AE1C5C">
        <w:t xml:space="preserve"> 12 образовательных организаций.</w:t>
      </w:r>
    </w:p>
    <w:p w:rsidR="00041FD7" w:rsidRPr="00AE1C5C" w:rsidRDefault="00041FD7" w:rsidP="00FE63DB">
      <w:pPr>
        <w:ind w:firstLine="709"/>
        <w:jc w:val="both"/>
      </w:pPr>
      <w:r w:rsidRPr="00AE1C5C">
        <w:t>ГБУ ДПО «Нижегородский научно-информационный центр» проведен семинар-тренинг для иностранных студентов, обучающихся в образовательных организациях высшего образования, "Мы – вместе!".</w:t>
      </w:r>
    </w:p>
    <w:p w:rsidR="00FE63DB" w:rsidRPr="00AE1C5C" w:rsidRDefault="00FE63DB" w:rsidP="00FE63DB">
      <w:pPr>
        <w:ind w:firstLine="709"/>
        <w:jc w:val="both"/>
      </w:pPr>
      <w:r w:rsidRPr="00AE1C5C">
        <w:t>Проведена X Всероссийская научно-практическая конференция "Учетно-аналитические инструменты развития инновационной экономики: российский и европейский опыт», в которой приняли участие 107 человек из 16 ПОО Нижегородской области и 12 образовательных организаций высшего образования из регионов России</w:t>
      </w:r>
      <w:r w:rsidR="00E17FC0" w:rsidRPr="00AE1C5C">
        <w:t xml:space="preserve"> и зарубежья: Чувашия, Москва, С</w:t>
      </w:r>
      <w:r w:rsidRPr="00AE1C5C">
        <w:t>тавропольский край, Новосибирск, Северный Кавказ, Казахстан.</w:t>
      </w:r>
      <w:r w:rsidR="007232BE" w:rsidRPr="00AE1C5C">
        <w:t xml:space="preserve"> </w:t>
      </w:r>
    </w:p>
    <w:p w:rsidR="00FE63DB" w:rsidRPr="00AE1C5C" w:rsidRDefault="00FE63DB" w:rsidP="00492CAE">
      <w:pPr>
        <w:ind w:firstLine="709"/>
        <w:jc w:val="both"/>
      </w:pPr>
      <w:r w:rsidRPr="00AE1C5C">
        <w:t xml:space="preserve">Министерством образования, науки и молодежной политики </w:t>
      </w:r>
      <w:r w:rsidR="00A37ABA" w:rsidRPr="00AE1C5C">
        <w:t xml:space="preserve">Нижегородской области </w:t>
      </w:r>
      <w:r w:rsidRPr="00AE1C5C">
        <w:t>и ГБУ ДПО "Нижегородский научно-информационный центр" в 201</w:t>
      </w:r>
      <w:r w:rsidR="00041FD7" w:rsidRPr="00AE1C5C">
        <w:t>9</w:t>
      </w:r>
      <w:r w:rsidRPr="00AE1C5C">
        <w:t xml:space="preserve"> году проведен XII</w:t>
      </w:r>
      <w:r w:rsidR="00041FD7" w:rsidRPr="00AE1C5C">
        <w:rPr>
          <w:lang w:val="en-US"/>
        </w:rPr>
        <w:t>I</w:t>
      </w:r>
      <w:r w:rsidRPr="00AE1C5C">
        <w:t xml:space="preserve"> областной конкурс молодежных инновационных команд РОСТ "Россия – Ответственность – Стратегия -</w:t>
      </w:r>
      <w:r w:rsidR="00492CAE" w:rsidRPr="00AE1C5C">
        <w:t xml:space="preserve"> Технология" (далее – Конкурс). </w:t>
      </w:r>
      <w:r w:rsidRPr="00AE1C5C">
        <w:t xml:space="preserve">Участниками Конкурса являются инновационные команды и лидеры проектов в двух возрастных категориях (14-17 лет и 18-30 лет включительно), осуществляющие разработку оригинальных научно-технических и конструкторских идей с перспективой технического воплощения и коммерческого использования. </w:t>
      </w:r>
    </w:p>
    <w:p w:rsidR="00FE63DB" w:rsidRPr="00AE1C5C" w:rsidRDefault="00FE63DB" w:rsidP="00FE63DB">
      <w:pPr>
        <w:ind w:firstLine="709"/>
        <w:jc w:val="both"/>
      </w:pPr>
      <w:r w:rsidRPr="00AE1C5C">
        <w:t>Цель Конкурса – выявление и поддержка инициативных, талантливых школьников, студентов, аспирантов и молодых специалистов, способных создавать и реализовывать конкурентоспособные инновационные проекты в научно-технической и социальной сферах – в полной мере соответствует целям и задачам Стратегии развития Нижегородской области - стать одним из лидеров РФ по условиям для предпринимательства, способствовать развитию технологического предпринимательства в научных и образовательных организациях.</w:t>
      </w:r>
    </w:p>
    <w:p w:rsidR="00FE63DB" w:rsidRPr="00AE1C5C" w:rsidRDefault="00FE63DB" w:rsidP="00FE63DB">
      <w:pPr>
        <w:ind w:firstLine="709"/>
        <w:jc w:val="both"/>
      </w:pPr>
      <w:r w:rsidRPr="00AE1C5C">
        <w:t>Проведено заседание Совета по делам иностранной студенческой молодежи на тему «Развитие экспорта образования в Нижегородской области».</w:t>
      </w:r>
    </w:p>
    <w:p w:rsidR="00FE63DB" w:rsidRPr="00AE1C5C" w:rsidRDefault="00FE63DB" w:rsidP="00FE63DB">
      <w:pPr>
        <w:ind w:firstLine="709"/>
        <w:jc w:val="both"/>
      </w:pPr>
      <w:r w:rsidRPr="00AE1C5C">
        <w:t>Ежемесячно выплачивались областные именные стипендии:</w:t>
      </w:r>
    </w:p>
    <w:p w:rsidR="00FE63DB" w:rsidRPr="00AE1C5C" w:rsidRDefault="00FE63DB" w:rsidP="00FE63DB">
      <w:pPr>
        <w:ind w:firstLine="709"/>
        <w:jc w:val="both"/>
      </w:pPr>
      <w:r w:rsidRPr="00AE1C5C">
        <w:t>•</w:t>
      </w:r>
      <w:r w:rsidRPr="00AE1C5C">
        <w:tab/>
        <w:t xml:space="preserve">Стипендии имени академика Ю.Б. Харитона для студентов ВУЗов и школьников </w:t>
      </w:r>
    </w:p>
    <w:p w:rsidR="00FE63DB" w:rsidRPr="00AE1C5C" w:rsidRDefault="00FE63DB" w:rsidP="00FE63DB">
      <w:pPr>
        <w:ind w:firstLine="709"/>
        <w:jc w:val="both"/>
      </w:pPr>
      <w:r w:rsidRPr="00AE1C5C">
        <w:t>•</w:t>
      </w:r>
      <w:r w:rsidRPr="00AE1C5C">
        <w:tab/>
        <w:t xml:space="preserve">Стипендии им. академика Г.А. Разуваева для аспирантов нижегородских учреждений послевузовского образования </w:t>
      </w:r>
    </w:p>
    <w:p w:rsidR="00FE63DB" w:rsidRPr="00AE1C5C" w:rsidRDefault="00FE63DB" w:rsidP="00FE63DB">
      <w:pPr>
        <w:ind w:firstLine="709"/>
        <w:jc w:val="both"/>
      </w:pPr>
      <w:r w:rsidRPr="00AE1C5C">
        <w:t>•</w:t>
      </w:r>
      <w:r w:rsidRPr="00AE1C5C">
        <w:tab/>
        <w:t xml:space="preserve">Пушкинские стипендии для школьников, учащихся учреждений начального профессионального образования, студентов нижегородских ВУЗов и техникумов </w:t>
      </w:r>
    </w:p>
    <w:p w:rsidR="00FE63DB" w:rsidRPr="00AE1C5C" w:rsidRDefault="00FE63DB" w:rsidP="00FE63DB">
      <w:pPr>
        <w:ind w:firstLine="709"/>
        <w:jc w:val="both"/>
      </w:pPr>
      <w:r w:rsidRPr="00AE1C5C">
        <w:t>•</w:t>
      </w:r>
      <w:r w:rsidRPr="00AE1C5C">
        <w:tab/>
        <w:t xml:space="preserve">Стипендии им. А.М. Горького для студентов нижегородских ВУЗов и техникумов </w:t>
      </w:r>
    </w:p>
    <w:p w:rsidR="00FE63DB" w:rsidRPr="00AE1C5C" w:rsidRDefault="00FE63DB" w:rsidP="00FE63DB">
      <w:pPr>
        <w:ind w:firstLine="709"/>
        <w:jc w:val="both"/>
      </w:pPr>
      <w:r w:rsidRPr="00AE1C5C">
        <w:t>•</w:t>
      </w:r>
      <w:r w:rsidRPr="00AE1C5C">
        <w:tab/>
        <w:t xml:space="preserve">Стипендии им. А.Ф. Хохлова для студентов нижегородских вузов </w:t>
      </w:r>
    </w:p>
    <w:p w:rsidR="00FE63DB" w:rsidRPr="00AE1C5C" w:rsidRDefault="00FE63DB" w:rsidP="00FE63DB">
      <w:pPr>
        <w:ind w:firstLine="709"/>
        <w:jc w:val="both"/>
      </w:pPr>
      <w:r w:rsidRPr="00AE1C5C">
        <w:t>•</w:t>
      </w:r>
      <w:r w:rsidRPr="00AE1C5C">
        <w:tab/>
        <w:t xml:space="preserve">Стипендия им. академика И.Н. Блохиной студентам нижегородских вузов </w:t>
      </w:r>
    </w:p>
    <w:p w:rsidR="00FE63DB" w:rsidRPr="00AE1C5C" w:rsidRDefault="00FE63DB" w:rsidP="00FE63DB">
      <w:pPr>
        <w:ind w:firstLine="709"/>
        <w:jc w:val="both"/>
      </w:pPr>
      <w:r w:rsidRPr="00AE1C5C">
        <w:t>•</w:t>
      </w:r>
      <w:r w:rsidRPr="00AE1C5C">
        <w:tab/>
        <w:t>Стипендии студентам, обучающимся по специальности "Журналистика"</w:t>
      </w:r>
    </w:p>
    <w:p w:rsidR="00FE63DB" w:rsidRPr="00AE1C5C" w:rsidRDefault="00FE63DB" w:rsidP="00FE63DB">
      <w:pPr>
        <w:ind w:firstLine="709"/>
        <w:jc w:val="both"/>
      </w:pPr>
      <w:r w:rsidRPr="00AE1C5C">
        <w:t>•</w:t>
      </w:r>
      <w:r w:rsidRPr="00AE1C5C">
        <w:tab/>
        <w:t xml:space="preserve">Стипендии по программе «Педагогические кадры» для студентов ВУЗов </w:t>
      </w:r>
    </w:p>
    <w:p w:rsidR="00FE63DB" w:rsidRPr="00AE1C5C" w:rsidRDefault="00FE63DB" w:rsidP="00FE63DB">
      <w:pPr>
        <w:ind w:firstLine="709"/>
        <w:jc w:val="both"/>
      </w:pPr>
      <w:r w:rsidRPr="00AE1C5C">
        <w:t>•</w:t>
      </w:r>
      <w:r w:rsidRPr="00AE1C5C">
        <w:tab/>
        <w:t xml:space="preserve">Стипендии Нижегородской области для учащихся общеобразовательных учреждений </w:t>
      </w:r>
    </w:p>
    <w:p w:rsidR="00FE63DB" w:rsidRPr="00AE1C5C" w:rsidRDefault="00FE63DB" w:rsidP="00FE63DB">
      <w:pPr>
        <w:ind w:firstLine="709"/>
        <w:jc w:val="both"/>
      </w:pPr>
      <w:r w:rsidRPr="00AE1C5C">
        <w:t>•</w:t>
      </w:r>
      <w:r w:rsidRPr="00AE1C5C">
        <w:tab/>
        <w:t xml:space="preserve">Стипендии ординаторам Нижегородской государственной медицинской академии </w:t>
      </w:r>
    </w:p>
    <w:p w:rsidR="00FE63DB" w:rsidRPr="00AE1C5C" w:rsidRDefault="00FE63DB" w:rsidP="00FE63DB">
      <w:pPr>
        <w:ind w:firstLine="709"/>
        <w:jc w:val="both"/>
      </w:pPr>
      <w:r w:rsidRPr="00AE1C5C">
        <w:t>•</w:t>
      </w:r>
      <w:r w:rsidRPr="00AE1C5C">
        <w:tab/>
        <w:t xml:space="preserve">Стипендии им. архитектора А.Е. Харитонова студентам Нижегородского государственного архитектурно-строительного университета </w:t>
      </w:r>
    </w:p>
    <w:p w:rsidR="00FE63DB" w:rsidRPr="00AE1C5C" w:rsidRDefault="00FE63DB" w:rsidP="00FE63DB">
      <w:pPr>
        <w:ind w:firstLine="709"/>
        <w:jc w:val="both"/>
      </w:pPr>
      <w:r w:rsidRPr="00AE1C5C">
        <w:t>•</w:t>
      </w:r>
      <w:r w:rsidRPr="00AE1C5C">
        <w:tab/>
        <w:t>Стипендии им. Р.Е.</w:t>
      </w:r>
      <w:r w:rsidR="00E8055D" w:rsidRPr="00AE1C5C">
        <w:t xml:space="preserve"> </w:t>
      </w:r>
      <w:r w:rsidRPr="00AE1C5C">
        <w:t>Алексеева</w:t>
      </w:r>
    </w:p>
    <w:p w:rsidR="00FE63DB" w:rsidRPr="00AE1C5C" w:rsidRDefault="00FE63DB" w:rsidP="00FE63DB">
      <w:pPr>
        <w:ind w:firstLine="709"/>
        <w:jc w:val="both"/>
      </w:pPr>
      <w:r w:rsidRPr="00AE1C5C">
        <w:t>•</w:t>
      </w:r>
      <w:r w:rsidRPr="00AE1C5C">
        <w:tab/>
        <w:t xml:space="preserve">Стипендии имени И.П. Склярова </w:t>
      </w:r>
    </w:p>
    <w:p w:rsidR="00F6213F" w:rsidRPr="00AE1C5C" w:rsidRDefault="00FE63DB" w:rsidP="0019399D">
      <w:pPr>
        <w:ind w:firstLine="709"/>
        <w:jc w:val="both"/>
      </w:pPr>
      <w:r w:rsidRPr="00AE1C5C">
        <w:t>•</w:t>
      </w:r>
      <w:r w:rsidRPr="00AE1C5C">
        <w:tab/>
        <w:t>Стипендии курсантам и адъюнктам, проживавшим на территории Нижегородской области и обучающимся в учреждениях высшего профессионального образования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19399D" w:rsidRPr="00AE1C5C" w:rsidRDefault="0019399D" w:rsidP="0019399D">
      <w:pPr>
        <w:ind w:firstLine="709"/>
        <w:jc w:val="both"/>
      </w:pPr>
    </w:p>
    <w:p w:rsidR="00262BC3" w:rsidRPr="00AE1C5C" w:rsidRDefault="00262BC3" w:rsidP="005F267C">
      <w:pPr>
        <w:spacing w:line="252" w:lineRule="exact"/>
        <w:rPr>
          <w:color w:val="auto"/>
          <w:shd w:val="clear" w:color="auto" w:fill="FFFFFF"/>
        </w:rPr>
      </w:pPr>
    </w:p>
    <w:p w:rsidR="005D3B7B" w:rsidRPr="00AE1C5C" w:rsidRDefault="005D3B7B" w:rsidP="00C72CD7">
      <w:pPr>
        <w:spacing w:line="252" w:lineRule="exact"/>
        <w:rPr>
          <w:color w:val="auto"/>
          <w:shd w:val="clear" w:color="auto" w:fill="FFFFFF"/>
        </w:rPr>
      </w:pPr>
    </w:p>
    <w:p w:rsidR="00F6213F" w:rsidRPr="00AE1C5C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  <w:r w:rsidRPr="00AE1C5C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AE1C5C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AE1C5C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402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9"/>
      </w:tblGrid>
      <w:tr w:rsidR="00E55814" w:rsidRPr="00AE1C5C" w:rsidTr="000D47E5">
        <w:trPr>
          <w:trHeight w:val="5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AE1C5C" w:rsidTr="000D47E5">
        <w:trPr>
          <w:trHeight w:val="10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AE1C5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AE1C5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AE1C5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AE1C5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AE1C5C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AE1C5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FE63DB" w:rsidRPr="00AE1C5C" w:rsidTr="00463745">
        <w:trPr>
          <w:trHeight w:val="510"/>
        </w:trPr>
        <w:tc>
          <w:tcPr>
            <w:tcW w:w="152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Подпрограмма 3 "Развитие профессионального образования"</w:t>
            </w:r>
          </w:p>
        </w:tc>
      </w:tr>
      <w:tr w:rsidR="003C3C9A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9A" w:rsidRPr="00AE1C5C" w:rsidRDefault="003C3C9A" w:rsidP="003C3C9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C9A" w:rsidRPr="00AE1C5C" w:rsidRDefault="003C3C9A" w:rsidP="003C3C9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1.1. Реализация ПОО инновационных образовательных программ, новых образовательных технологий, форм организации образовательного процесса, в том числе по ТОП-50 наиболее востребованным и перспективным профессиям и специальностям СПО: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C9A" w:rsidRPr="00AE1C5C" w:rsidRDefault="003C3C9A" w:rsidP="003C3C9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9A" w:rsidRPr="00AE1C5C" w:rsidRDefault="003C3C9A" w:rsidP="003C3C9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9A" w:rsidRPr="00AE1C5C" w:rsidRDefault="003C3C9A" w:rsidP="003C3C9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9A" w:rsidRPr="00AE1C5C" w:rsidRDefault="003C3C9A" w:rsidP="003C3C9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9A" w:rsidRPr="00AE1C5C" w:rsidRDefault="003C3C9A" w:rsidP="003C3C9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9A" w:rsidRPr="00AE1C5C" w:rsidRDefault="003C3C9A" w:rsidP="003C3C9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9A" w:rsidRPr="00AE1C5C" w:rsidRDefault="003C3C9A" w:rsidP="003C3C9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9A" w:rsidRPr="00AE1C5C" w:rsidRDefault="003C3C9A" w:rsidP="003C3C9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C9A" w:rsidRPr="00AE1C5C" w:rsidRDefault="003C3C9A" w:rsidP="003C3C9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52132C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1.1.1. Создание на базе ОО современных ресурсных центров/ специализированных центров компетенций (СЦК)/центров проведения демонстрационного экзамена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52132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</w:t>
            </w:r>
            <w:r w:rsidR="0052132C" w:rsidRPr="00AE1C5C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52132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</w:t>
            </w:r>
            <w:r w:rsidR="0052132C" w:rsidRPr="00AE1C5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52132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</w:t>
            </w:r>
            <w:r w:rsidR="0052132C" w:rsidRPr="00AE1C5C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52132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</w:t>
            </w:r>
            <w:r w:rsidR="0052132C" w:rsidRPr="00AE1C5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2173C8" w:rsidP="002173C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 xml:space="preserve">1.1.1.1. Создание на базе </w:t>
            </w:r>
            <w:r w:rsidR="00FE63DB" w:rsidRPr="00AE1C5C">
              <w:rPr>
                <w:rFonts w:eastAsia="Times New Roman"/>
                <w:bCs/>
                <w:sz w:val="20"/>
                <w:szCs w:val="20"/>
              </w:rPr>
              <w:t>ОО современных ресурсных центров (РЦ)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2173C8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2173C8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2132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2C" w:rsidRPr="00AE1C5C" w:rsidRDefault="0052132C" w:rsidP="0052132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2C" w:rsidRPr="00AE1C5C" w:rsidRDefault="002173C8" w:rsidP="0052132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1.1.1.2. Создание на базах ОО специализированных центров компетенций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2C" w:rsidRPr="00AE1C5C" w:rsidRDefault="002173C8" w:rsidP="0052132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2C" w:rsidRPr="00AE1C5C" w:rsidRDefault="002173C8" w:rsidP="0052132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2C" w:rsidRPr="00AE1C5C" w:rsidRDefault="002173C8" w:rsidP="0052132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2C" w:rsidRPr="00AE1C5C" w:rsidRDefault="002173C8" w:rsidP="0052132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2C" w:rsidRPr="00AE1C5C" w:rsidRDefault="002173C8" w:rsidP="0052132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2C" w:rsidRPr="00AE1C5C" w:rsidRDefault="002173C8" w:rsidP="0052132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2C" w:rsidRPr="00AE1C5C" w:rsidRDefault="002173C8" w:rsidP="0052132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2C" w:rsidRPr="00AE1C5C" w:rsidRDefault="002173C8" w:rsidP="0052132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2C" w:rsidRPr="00AE1C5C" w:rsidRDefault="002173C8" w:rsidP="0052132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2173C8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1.1.1.3. Создание на базах ОО центров проведения демонстрационного экзамена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2173C8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1.1.2. Разработка и распространение в системах среднего профессионального образования и высшего образования новых образовательных технологий, форм организации образовательного процесса (создание региональной сетевой площадки)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173C8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1.1.2.1. Создание на базе ОО региональной сетевой площадки (РСП)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2173C8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1.2. Создание многофункциональных центров прикладных квалификаций (не менее 1 центра в год)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173C8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1.2.1. Создание многофункциональных центров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2173C8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1.3. Проведение мероприятий по адаптации зданий ПОО для обучения лиц с ОВЗ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173C8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1.3.1. Количество ПОО, оснащенных необходимым оборудованием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2173C8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1.4. Реализация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</w:t>
            </w:r>
            <w:r w:rsidR="00E340DC" w:rsidRPr="00AE1C5C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</w:t>
            </w:r>
            <w:r w:rsidR="00E340DC" w:rsidRPr="00AE1C5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</w:t>
            </w:r>
            <w:r w:rsidR="00E340DC" w:rsidRPr="00AE1C5C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</w:t>
            </w:r>
            <w:r w:rsidR="00E340DC" w:rsidRPr="00AE1C5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173C8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1.4.1. Количество созданных базовых ПОО,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635C85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635C85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3C8" w:rsidRPr="00AE1C5C" w:rsidRDefault="002173C8" w:rsidP="002173C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E340D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2.1. Внедрение механизмов сетевых образовательных программ по отраслевому принципу, в том числе для обеспечения деятельности региональной сетевой площадки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</w:t>
            </w:r>
            <w:r w:rsidR="00F02A60" w:rsidRPr="00AE1C5C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E340D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2.1.1. Количество ПОО, использующих сетевые образовательные программы,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E340D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2.2. Модернизация сетевых образовательных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E340D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2.2.1. Количество сетевых образовательных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E340D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3.1. Организация деятельности общественного совета при министерстве образования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E340D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3.1.1. Проведение заседаний совета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DC" w:rsidRPr="00AE1C5C" w:rsidRDefault="00E340DC" w:rsidP="00E340D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700E4F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3.2. Проведение независимой оценки качества образовательной деятельности ОО, подведомственных МОНО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700E4F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3.2.1. Количество ОО, прошедших независимую оценку качества,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700E4F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 xml:space="preserve">3.3. </w:t>
            </w:r>
            <w:r w:rsidR="005F5DCC" w:rsidRPr="00AE1C5C">
              <w:rPr>
                <w:rFonts w:eastAsia="Times New Roman"/>
                <w:bCs/>
                <w:sz w:val="20"/>
                <w:szCs w:val="20"/>
              </w:rPr>
              <w:t>Реализация мероприятий проведения исследования качества общеобразовательной подготовки, обучающихся по образовательным программам СПО на базе основного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5F5DCC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4F" w:rsidRPr="00AE1C5C" w:rsidRDefault="00700E4F" w:rsidP="00700E4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3.3.1. Количество 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4.1. Реализация региональной сетевой площадкой и ПОО - участниками региональной сети образовательных проектов, программ, модулей, методик и технологий, в том числе электронного обучения, по профессиям и специальностям ТОП-50 на основе эффективных механизмов взаимодействия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ПОО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4.1.1. Реализация проектов (программ, модулей, методик и технологий)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4.1.2. Количество профессий и специальностей из перечня ТОП-50, по которым осуществлен прием на обучение в ПОО - региональной сетевой площадке и ПОО - участниках сети по профилю, соответствующему профилю региональной сетевой площадки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4.1.3. Количество профессий и специальностей из перечня ТОП-50, по которым разработаны программы модулей, дисциплин, междисциплинарных курсов, в том числе с применением электронного обучения, в ПОО - региональной сетевой площадке и ПОО - участниках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4.1.4. Доля студентов, обучающихся в ПОО - региональной сетевой площадке и ПОО - участниках сети по профессиям и специальностям из перечня ТОП-50, в общей численности студентов, обучающихся по профессиям и специальностям СПО из перечня ТОП-50 по профилю, соответствующему профилю региональной сетевой площадки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4.2. Реализация инновационных образовательных проектов, в том числе на основе практико-ориентированной (дуальной) модели обучения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4.2.1. Реализация проектов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5.1. Формирование многоуровневой системы мероприятий по работе с талантливой молодежью, в том числе реализация комплекса мероприятий по профориентации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ПВиС, ГБУ ДО ЦМИНК Кванториум &lt;*&gt;, ГБПОУ НИК &lt;*&gt;, ПОО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5.1.1. Количество экскурсий на предприятия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5.2. Проведение Нижегородской сессии молодых ученых по естественнонаучным, гуманитарным и техническим дисциплинам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ГБУ ДПО ННИЦ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5.2.1. Количество проведенных сессий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5.3. Конкурс профессионального мастерства "День поля"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ГБОУ ВО НГИЭУ &lt;**&gt;, ПОО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5.3.1. Количество обучающихся -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5.4. Проведение ежегодно универсиады для студентов образовательных организаций высшего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ОО ВО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5.4.1. Количество участников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6.1. Стипендия имени А.М. Горького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6.2. Стипендия имени А.С. Пушкина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6.2.1.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6.3. Стипендия имени академика Г.А. Разуваева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6.3.1.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6.4. Стипендия имени академика Ю.Б. Харитона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6.4.1.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6.5. Стипендия имени Б.А. Королева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6.5.1.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6.6. Стипендия имени архитектора А.Е. Харитонова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6.6.1.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6.7. Стипендия имени профессора А.Ф. Хохлова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6.7.1.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6.8. Стипендия имени академика И.Н. Блохиной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6.8.1.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6.9. Стипендия студентам образовательных организаций высшего образования, обучающимся по направлению подготовки "Журналистика"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6.9.1.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6.10. Стипендия имени И.П. Склярова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6.10.1.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6.11. Стипендия Нижегородской области обучающимся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6.11.1.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6.12. Стипендии студентам государственных образовательных организаций высшего образования из семей работников системы образования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УОПКР,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6.12.1.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6.13. Стипендия им. Р.Е. Алексеева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6.13.1.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 xml:space="preserve">6.14. Стипендия курсантам и адъюнктам, </w:t>
            </w:r>
            <w:r w:rsidR="00ED24A9" w:rsidRPr="00AE1C5C">
              <w:rPr>
                <w:rFonts w:eastAsia="Times New Roman"/>
                <w:bCs/>
                <w:sz w:val="20"/>
                <w:szCs w:val="20"/>
              </w:rPr>
              <w:t xml:space="preserve">проживающим на </w:t>
            </w:r>
            <w:r w:rsidRPr="00AE1C5C">
              <w:rPr>
                <w:rFonts w:eastAsia="Times New Roman"/>
                <w:bCs/>
                <w:sz w:val="20"/>
                <w:szCs w:val="20"/>
              </w:rPr>
              <w:t>территории НО и обучающимся в образовательных организациях высшего образования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6.14.1.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6.15. Именная стипендия Нижегородской области для учащихся общеобразовательных школ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6.15.1.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6.16. Стипендия Правительства Российской Федерации для лиц, обучающихся по очной форме обучения по основным профессиональным образовательным программам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Федерации, в профессиональных образовательных организациях и образовательных организациях высшего образования, находящихся в ведении органов государственной власти субъекта Российской Федерации, и в муниципальных ПОО и ОО 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6.16.1.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143,00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7.1. Региональный чемпионат WorldSkills в рамках приоритетного проекта "Рабочие кадры для передовых технологий"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7.1.1. Проведение чемпионата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7.1.2. Количество выпускников ПОО, продемонстрировавших уровень подготовки, соответствующий стандартам Ворлдскиллс Россия (чел.)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165,00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7.1.3. Доля студентов (выпускников) ПОО - региональной сетевой площадки и ПОО - участников сети в конкурсах "Молодые профессионалы" (WorldSkills Russia) разного уровня по профессиям/специальностям перечня ТОП-50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7.2. Областной конкурс "Мастер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7.2.1. Проведение конкурса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7.3. Областные олимпиады профессионального мастерства, включая региональный этап Всероссийских олимпиад профессионального мастерства обучающихся по специальностям среднего профессионального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ГБУ ДПО ННИЦ,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7.3.1. Количество укрупненных групп профессий и специальностей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7.4. Областной фестиваль профессионального развития "Старт-Профи":</w:t>
            </w:r>
            <w:r w:rsidRPr="00AE1C5C">
              <w:rPr>
                <w:rFonts w:eastAsia="Times New Roman"/>
                <w:bCs/>
                <w:sz w:val="20"/>
                <w:szCs w:val="20"/>
              </w:rPr>
              <w:br/>
              <w:t>- областные выставки профессионального творчества;</w:t>
            </w:r>
            <w:r w:rsidRPr="00AE1C5C">
              <w:rPr>
                <w:rFonts w:eastAsia="Times New Roman"/>
                <w:bCs/>
                <w:sz w:val="20"/>
                <w:szCs w:val="20"/>
              </w:rPr>
              <w:br/>
              <w:t>- областной конкурс научно-технического творчества студентов ПОО;</w:t>
            </w:r>
            <w:r w:rsidRPr="00AE1C5C">
              <w:rPr>
                <w:rFonts w:eastAsia="Times New Roman"/>
                <w:bCs/>
                <w:sz w:val="20"/>
                <w:szCs w:val="20"/>
              </w:rPr>
              <w:br/>
              <w:t>- конкурсы исследовательских и проектных работ;</w:t>
            </w:r>
            <w:r w:rsidRPr="00AE1C5C">
              <w:rPr>
                <w:rFonts w:eastAsia="Times New Roman"/>
                <w:bCs/>
                <w:sz w:val="20"/>
                <w:szCs w:val="20"/>
              </w:rPr>
              <w:br/>
              <w:t>- смотр-конкурс на лучшую организацию работы по развитию технического (профессионального) творчества;</w:t>
            </w:r>
            <w:r w:rsidRPr="00AE1C5C">
              <w:rPr>
                <w:rFonts w:eastAsia="Times New Roman"/>
                <w:bCs/>
                <w:sz w:val="20"/>
                <w:szCs w:val="20"/>
              </w:rPr>
              <w:br/>
              <w:t>- областной смотр-конкурс центров содействия трудоустройству выпускников ПОО;</w:t>
            </w:r>
            <w:r w:rsidRPr="00AE1C5C">
              <w:rPr>
                <w:rFonts w:eastAsia="Times New Roman"/>
                <w:bCs/>
                <w:sz w:val="20"/>
                <w:szCs w:val="20"/>
              </w:rPr>
              <w:br/>
              <w:t>- слет обучающихся - участников музейных объединений и поисковых отрядов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7.4.1. Количество мероприятий ежегодно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7.5. Слет юных водников "Паруса надежды"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ГБПОУ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7.5.1. Количество участников слета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7.6. Национальный чемпионат профессионального мастерства для людей с инвалидностью и ограниченными возможностями здоровья "Абилимпикс"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7.6.1 Проведение чемпионата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8.1. Организация многоуровневой системы повышения квалификации педагогических и руководящих работников ПОО по вопросам реализации ФГОС СПО по 50 наиболее востребованным, новым и перспективным профессиям и специальностям среднего профессионального образования в рамках приоритетного проекта "Рабочие кадры для передовых технологий", в том числе по вопросам проведения демонстрационного экзамена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8.1.1. Доля педагогических и руководящих работников ПОО, прошедших повышение квалификации по вопросам реализации ФГОС СПО по 50 наиболее востребованным, новым и перспективным профессиям, в том числе по вопросам проведения демонстрационного экзамена, в общем числе педагогических работников, реализующих программы ТОП-50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8.1.2. Количество педагогических работников ПОО, реализующих программы СПО по перечню ТОП-50, прошедших повышение квалификации по программам, разработанным ПОО - региональной сетевой площадкой, ПОО - участниками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8.2. Обобщение и внедрение лучших региональных, Всероссийских и международных педагогических практик, в том числе по ТОП-50 наиболее востребованных и перспективных профессий и специальностей СПО, в рамках приоритетного проекта "Рабочие кадры для передовых технологий", а также по вопросам проведения демонстрационного экзамена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8.2.1. Размещение на сайте лучших педагогических практик, депозитариев учебно-методических материалов, диагностических средств, в том числе для организации и проведения демонстрационного экзамена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8.2.2. Количество программ повышения квалификации педагогических работников ПОО, разработанных и реализованных ПОО - региональной сетевой площадкой и ПОО - участниками сети, в том числе с использованием электронного обучения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8.2.3. Количество педагогических работников ПОО - региональной сетевой площадки и ПОО - участников сети, прошедших повышение квалификации по стандартам Ворлдскиллс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8.2.4. Количество педагогических работников ПОО - региональной сетевой площадки и ПОО - участников сети, прошедших повышение квалификации (стажировку) на базе межрегиональных центров компетенций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8.2.5. Доля профессий/специальностей СПО из перечня ТОП-50, по которым в ПОО - региональной сетевой площадке и ПОО - участниках сети внедрен демонстрационный экзамен, в общем числе реализуемых профессий и специальностей из перечня ТОП-50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9.1. Обеспечение деятельности подведомственных ПОО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сектор ПВиС ПО, УЭП,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9.1.1.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43,70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43,70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9.2. Обеспечение деятельности подведомственных ООВО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сектор ПВиС ПО, УЭП, ПОО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9.2.1.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2,65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9.3. Организация ДПО по военно-учетным специальностям на базе подведомственных ПОО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сектор ПВиС ПО, УЭП,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9.3.1. Численность обучающихся,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10.1. Формирование прогноза кадровой потребности для различных отраслей экономики региона и общего объема подготовки кадров для установления контрольных цифр приема в ПОО и ОО 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сектор ПВиС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10.1.1. Утверждение приказом министерства образования Нижегородской области общего объема контрольных цифр приема (Приказы МОНО)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10.2. Реализация многоуровневой системы профориентационной работы с обучающимися общеобразовательных организаций, студенческой молодежью и молодыми профессионалами предприятий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ПОО &lt;**&gt;, ОО ВО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10.2.1. Отчет ПОО о реализации мероприятий дорожной карты по развитию системы профессиональной ориентации в Нижегородской области на 2016 - 2020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11.1. Обновление перечня ТОП-регион подготавливаемых профессий и специальностей, адекватных требованиям высокотехнологичных и наукоемких производств региона по приоритетным направлениям развития экономики, а также по ТОП-50 наиболее востребованных и перспективных профессий и специальностей СПО, в том числе за счет внедрения дистанционных форм обучения в рамках приоритетного проекта "Рабочие кадры для передовых технологий"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11.1.1. Разработка нормативных правовых актов (Приказ МОНО)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12.1. Проект Агентства стратегических инициатив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ПВиСПО,  ГБУ ДПО ННИЦ, ГАПОУ «Городецкий Губернский колледж»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12.1.1. Созданы региональные лидерские команды из числа активных и амбициозных, талантливых и высокомотивированных детей (14 – 17 лет) и молодёжи (18 - 21 год), ориентированные на социально-экономическое развитие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13. Организация и проведение конкурса Нижегородской области в сфере науки, техники и технологий на право получения грантов и премий, выплаты их победителям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Сектор ПВиСПО, УЭП,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13.1. Проведено количество конкурсов, 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14. Организация и проведение конкурса проектов фундаментальных научных исследований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pStyle w:val="ConsPlusNormal"/>
              <w:widowControl/>
              <w:jc w:val="center"/>
              <w:rPr>
                <w:bCs/>
                <w:color w:val="000000"/>
                <w:sz w:val="20"/>
              </w:rPr>
            </w:pPr>
            <w:r w:rsidRPr="00AE1C5C">
              <w:rPr>
                <w:bCs/>
                <w:sz w:val="20"/>
              </w:rPr>
              <w:t>Сектор ПВиСПО, УЭП,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14.1.Проведено количество конкурсов, 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 xml:space="preserve">15.1. Внедрена итоговая аттестация в форме демонстрационного экзамена в образовательных организациях, осуществляющих образовательную деятельность по образовательным программам среднего профессионального образования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pStyle w:val="ConsPlusNormal"/>
              <w:widowControl/>
              <w:jc w:val="center"/>
              <w:rPr>
                <w:bCs/>
                <w:sz w:val="20"/>
              </w:rPr>
            </w:pPr>
            <w:r w:rsidRPr="00AE1C5C">
              <w:rPr>
                <w:bCs/>
                <w:sz w:val="20"/>
              </w:rPr>
              <w:t>Отдел ПРК, ПОО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F5DCC" w:rsidRPr="00AE1C5C" w:rsidTr="000D47E5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15.1.1. 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2,47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15.1.2. Доля обучающихся, 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образования, прошедших аттестацию с использованием механизма демонстрационного экзамена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0,70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sz w:val="16"/>
                <w:szCs w:val="16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15.2. Создание центров опережающей профессиональной подготовки накопительным итогом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pStyle w:val="ConsPlusNormal"/>
              <w:widowControl/>
              <w:jc w:val="center"/>
              <w:rPr>
                <w:bCs/>
                <w:sz w:val="20"/>
              </w:rPr>
            </w:pPr>
            <w:r w:rsidRPr="00AE1C5C">
              <w:rPr>
                <w:bCs/>
                <w:sz w:val="20"/>
              </w:rPr>
              <w:t>Отдел ПРК, ПОО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15.2.1. Число центров опережающей профессиональной подготовки накопительным итогом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15.3. 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pStyle w:val="ConsPlusNormal"/>
              <w:widowControl/>
              <w:jc w:val="center"/>
              <w:rPr>
                <w:bCs/>
                <w:sz w:val="20"/>
              </w:rPr>
            </w:pPr>
            <w:r w:rsidRPr="00AE1C5C">
              <w:rPr>
                <w:bCs/>
                <w:sz w:val="20"/>
              </w:rPr>
              <w:t>Отдел ПРК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15.3.1. Число мастерских, оснащенных современной материально-технической базой по одной из компетенций накопительным итогом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16.1. Организация функционирования в Нижегородской области интеграционной платформы непрерывного образования (далее Платформа) и набор сервисов, обеспечивающих навигацию и поддержку граждан при выборе образовательных программ и организаций, осуществляющих образовательную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pStyle w:val="ConsPlusNormal"/>
              <w:widowControl/>
              <w:jc w:val="center"/>
              <w:rPr>
                <w:bCs/>
                <w:sz w:val="20"/>
              </w:rPr>
            </w:pPr>
            <w:r w:rsidRPr="00AE1C5C">
              <w:rPr>
                <w:bCs/>
                <w:sz w:val="20"/>
              </w:rPr>
              <w:t>Сектор ПВиСПО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16.1.1.Количество организаций, осуществляющих образовательную деятельность, подключенных к Платформе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17.1.Привлечение иностранных граждан на обучение в летних и зимних школах, в том числе на базе летних оздоровительных лагерей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pStyle w:val="ConsPlusNormal"/>
              <w:widowControl/>
              <w:jc w:val="center"/>
              <w:rPr>
                <w:bCs/>
                <w:sz w:val="20"/>
              </w:rPr>
            </w:pPr>
            <w:r w:rsidRPr="00AE1C5C">
              <w:rPr>
                <w:bCs/>
                <w:sz w:val="20"/>
              </w:rPr>
              <w:t>Сектор ПВиСПО, ОО ВО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17.1.1.Численность иностранных учащихся, принявших участие в летних и зимних школах, организованных российскими образовательными организациями высшего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122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17.1.2. Количество организаций высшего образования, реализующих мероприятия по обучению иностранных граждан в летних и зимних школах, в том числе на базе летних оздоровительных лагерей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17.1.3. Численность иностранных граждан, обучающихся в ГБОУ ВО «Нижегородский государственный инженерно-экономический университет»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118,00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17.2. Реализация скоординированного механизма представления информации о нижегородском образовании в ведущих российских и зарубежных СМИ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pStyle w:val="ConsPlusNormal"/>
              <w:widowControl/>
              <w:jc w:val="center"/>
              <w:rPr>
                <w:bCs/>
                <w:sz w:val="20"/>
              </w:rPr>
            </w:pPr>
            <w:r w:rsidRPr="00AE1C5C">
              <w:rPr>
                <w:bCs/>
                <w:sz w:val="20"/>
              </w:rPr>
              <w:t>Сектор ПВиСПО, ОО ВО, ГБУ ДПО ННИЦ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125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17.2.1. Создание интернет-портала нижегородских вузов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126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17.3. Увеличение количества иностранных граждан, обучающихся в организациях, осуществляющих образовательную деятельность, по программам высшего образования, нарастающим итогом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pStyle w:val="ConsPlusNormal"/>
              <w:widowControl/>
              <w:jc w:val="center"/>
              <w:rPr>
                <w:bCs/>
                <w:sz w:val="20"/>
              </w:rPr>
            </w:pPr>
            <w:r w:rsidRPr="00AE1C5C">
              <w:rPr>
                <w:bCs/>
                <w:sz w:val="20"/>
              </w:rPr>
              <w:t>Сектор ПВиСПО, ОО ВО, ГБУ ДПО ННИЦ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5F5DCC" w:rsidRPr="00AE1C5C" w:rsidTr="00D3756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127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DCC" w:rsidRPr="00AE1C5C" w:rsidRDefault="005F5DCC" w:rsidP="005F5DC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17.3.1. Количество иностранных граждан, тыс.чел.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3,3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DCC" w:rsidRPr="00AE1C5C" w:rsidRDefault="005F5DCC" w:rsidP="005F5DC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Pr="00AE1C5C" w:rsidRDefault="0070174E"/>
    <w:p w:rsidR="0052132C" w:rsidRPr="00AE1C5C" w:rsidRDefault="0052132C"/>
    <w:p w:rsidR="008101CB" w:rsidRPr="00AE1C5C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AE1C5C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AE1C5C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637EBF" w:rsidRPr="00AE1C5C" w:rsidRDefault="00637EBF" w:rsidP="00637EBF">
      <w:pPr>
        <w:spacing w:after="215" w:line="200" w:lineRule="exact"/>
        <w:ind w:right="-172"/>
        <w:jc w:val="center"/>
        <w:rPr>
          <w:color w:val="auto"/>
        </w:rPr>
      </w:pPr>
      <w:r w:rsidRPr="00AE1C5C">
        <w:rPr>
          <w:b/>
          <w:bCs/>
          <w:color w:val="auto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FE63DB" w:rsidRPr="00AE1C5C" w:rsidRDefault="00FE63DB" w:rsidP="00FE63DB">
      <w:pPr>
        <w:widowControl/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</w:rPr>
      </w:pPr>
      <w:r w:rsidRPr="00AE1C5C">
        <w:rPr>
          <w:rFonts w:eastAsia="Times New Roman"/>
          <w:color w:val="auto"/>
          <w:lang w:eastAsia="en-US"/>
        </w:rPr>
        <w:t>В 201</w:t>
      </w:r>
      <w:r w:rsidR="00F02A60" w:rsidRPr="00AE1C5C">
        <w:rPr>
          <w:rFonts w:eastAsia="Times New Roman"/>
          <w:color w:val="auto"/>
          <w:lang w:eastAsia="en-US"/>
        </w:rPr>
        <w:t>9</w:t>
      </w:r>
      <w:r w:rsidRPr="00AE1C5C">
        <w:rPr>
          <w:rFonts w:eastAsia="Times New Roman"/>
          <w:color w:val="auto"/>
          <w:lang w:eastAsia="en-US"/>
        </w:rPr>
        <w:t xml:space="preserve"> году проведено 3 Нижегородских сессии молодых ученых, в которых приняли участие около 300 аспирантов, студентов и магистров из образовательных организаций высшего образования. В </w:t>
      </w:r>
      <w:r w:rsidRPr="00AE1C5C">
        <w:rPr>
          <w:rFonts w:eastAsia="Times New Roman"/>
          <w:color w:val="auto"/>
        </w:rPr>
        <w:t>к</w:t>
      </w:r>
      <w:r w:rsidRPr="00AE1C5C">
        <w:rPr>
          <w:rFonts w:eastAsia="Times New Roman"/>
          <w:color w:val="auto"/>
          <w:lang w:eastAsia="en-US"/>
        </w:rPr>
        <w:t>онкурсе профессионального мастерства "День поля"</w:t>
      </w:r>
      <w:r w:rsidRPr="00AE1C5C">
        <w:rPr>
          <w:rFonts w:eastAsia="Times New Roman"/>
          <w:color w:val="auto"/>
        </w:rPr>
        <w:t xml:space="preserve"> приняли участие 40 студентов. Областные именные стипендии выплачены в полном объеме. Все мероприятия программы выполнены в полном объеме. </w:t>
      </w:r>
    </w:p>
    <w:p w:rsidR="00637EBF" w:rsidRPr="00AE1C5C" w:rsidRDefault="00637EBF" w:rsidP="00FE63DB">
      <w:pPr>
        <w:widowControl/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</w:rPr>
      </w:pPr>
    </w:p>
    <w:p w:rsidR="00341D6C" w:rsidRPr="00AE1C5C" w:rsidRDefault="00E55814" w:rsidP="00341D6C">
      <w:pPr>
        <w:spacing w:line="252" w:lineRule="exact"/>
        <w:jc w:val="center"/>
        <w:rPr>
          <w:color w:val="auto"/>
          <w:shd w:val="clear" w:color="auto" w:fill="FFFFFF"/>
        </w:rPr>
      </w:pPr>
      <w:r w:rsidRPr="00AE1C5C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AE1C5C">
        <w:rPr>
          <w:color w:val="auto"/>
          <w:shd w:val="clear" w:color="auto" w:fill="FFFFFF"/>
        </w:rPr>
        <w:br/>
        <w:t>и непосредственных результатов</w:t>
      </w:r>
    </w:p>
    <w:p w:rsidR="00341D6C" w:rsidRPr="00AE1C5C" w:rsidRDefault="00341D6C" w:rsidP="00341D6C">
      <w:pPr>
        <w:spacing w:line="252" w:lineRule="exact"/>
        <w:jc w:val="center"/>
        <w:rPr>
          <w:color w:val="auto"/>
          <w:shd w:val="clear" w:color="auto" w:fill="FFFFFF"/>
        </w:rPr>
      </w:pP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AE1C5C" w:rsidTr="00FE63DB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631965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2019</w:t>
            </w:r>
            <w:r w:rsidR="008101CB" w:rsidRPr="00AE1C5C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AE1C5C" w:rsidTr="00FE63D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E1C5C" w:rsidRDefault="008101CB" w:rsidP="0030600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E1C5C" w:rsidRDefault="008101CB" w:rsidP="0030600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E1C5C" w:rsidRDefault="008101CB" w:rsidP="0030600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635C85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201</w:t>
            </w:r>
            <w:r w:rsidR="00635C85" w:rsidRPr="00AE1C5C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635C85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201</w:t>
            </w:r>
            <w:r w:rsidR="00635C85" w:rsidRPr="00AE1C5C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E1C5C" w:rsidRDefault="008101CB" w:rsidP="0030600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E1C5C" w:rsidRDefault="008101CB" w:rsidP="0030600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AE1C5C" w:rsidTr="00FE63D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E1C5C" w:rsidRDefault="008101CB" w:rsidP="0030600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E1C5C" w:rsidRDefault="008101CB" w:rsidP="0030600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E1C5C" w:rsidRDefault="008101CB" w:rsidP="0030600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E1C5C" w:rsidRDefault="008101CB" w:rsidP="0030600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E1C5C" w:rsidRDefault="008101CB" w:rsidP="0030600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AE1C5C" w:rsidRDefault="008101CB" w:rsidP="0030600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AE1C5C" w:rsidTr="00FE63D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AE1C5C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FE63DB" w:rsidRPr="00AE1C5C" w:rsidTr="00FE63DB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Подпрограмма 3 "Развитие профессионального образования"</w:t>
            </w:r>
          </w:p>
        </w:tc>
      </w:tr>
      <w:tr w:rsidR="00FE63DB" w:rsidRPr="00AE1C5C" w:rsidTr="00FE63D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FE63DB" w:rsidRPr="00AE1C5C" w:rsidTr="00637EBF">
        <w:trPr>
          <w:trHeight w:val="18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Доля выпускников ПОО очной формы обучения,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70,70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70,</w:t>
            </w:r>
            <w:r w:rsidR="00A474FE" w:rsidRPr="00AE1C5C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7</w:t>
            </w:r>
            <w:r w:rsidR="00A474FE" w:rsidRPr="00AE1C5C">
              <w:rPr>
                <w:rFonts w:eastAsia="Times New Roman"/>
                <w:sz w:val="20"/>
                <w:szCs w:val="20"/>
              </w:rPr>
              <w:t>0</w:t>
            </w:r>
            <w:r w:rsidRPr="00AE1C5C">
              <w:rPr>
                <w:rFonts w:eastAsia="Times New Roman"/>
                <w:sz w:val="20"/>
                <w:szCs w:val="20"/>
              </w:rPr>
              <w:t>,</w:t>
            </w:r>
            <w:r w:rsidR="00A474FE" w:rsidRPr="00AE1C5C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</w:t>
            </w:r>
            <w:r w:rsidR="00A474FE" w:rsidRPr="00AE1C5C">
              <w:rPr>
                <w:rFonts w:eastAsia="Times New Roman"/>
                <w:sz w:val="20"/>
                <w:szCs w:val="20"/>
              </w:rPr>
              <w:t>0</w:t>
            </w:r>
            <w:r w:rsidRPr="00AE1C5C">
              <w:rPr>
                <w:rFonts w:eastAsia="Times New Roman"/>
                <w:sz w:val="20"/>
                <w:szCs w:val="20"/>
              </w:rPr>
              <w:t>,</w:t>
            </w:r>
            <w:r w:rsidR="00A474FE" w:rsidRPr="00AE1C5C">
              <w:rPr>
                <w:rFonts w:eastAsia="Times New Roman"/>
                <w:sz w:val="20"/>
                <w:szCs w:val="20"/>
              </w:rPr>
              <w:t>00</w:t>
            </w:r>
            <w:r w:rsidRPr="00AE1C5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AE1C5C" w:rsidTr="00637EBF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Доля ПОО, в которых осуществляется подготовка кадров по наиболее востребованным на рынке труда, новым и перспективным профессиям, требующим среднего профессионального образования (ТОП-50), в общем количестве ПОО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A474FE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74,00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74,00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74,00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AE1C5C" w:rsidTr="00637EBF">
        <w:trPr>
          <w:trHeight w:val="13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Доля студентов ПОО,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 и оценке результатов их освоения, проведении учебных занятий), в общей численности студентов ПОО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9</w:t>
            </w:r>
            <w:r w:rsidR="00A474FE" w:rsidRPr="00AE1C5C">
              <w:rPr>
                <w:rFonts w:eastAsia="Times New Roman"/>
                <w:sz w:val="20"/>
                <w:szCs w:val="20"/>
              </w:rPr>
              <w:t>2</w:t>
            </w:r>
            <w:r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9</w:t>
            </w:r>
            <w:r w:rsidR="00A474FE" w:rsidRPr="00AE1C5C">
              <w:rPr>
                <w:rFonts w:eastAsia="Times New Roman"/>
                <w:sz w:val="20"/>
                <w:szCs w:val="20"/>
              </w:rPr>
              <w:t>6</w:t>
            </w:r>
            <w:r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9</w:t>
            </w:r>
            <w:r w:rsidR="00A474FE" w:rsidRPr="00AE1C5C">
              <w:rPr>
                <w:rFonts w:eastAsia="Times New Roman"/>
                <w:sz w:val="20"/>
                <w:szCs w:val="20"/>
              </w:rPr>
              <w:t>6</w:t>
            </w:r>
            <w:r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AE1C5C" w:rsidTr="00637EBF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Доля занятого населения в возрасте 25 - 65 лет, прошедшего повышение квалификации и (или) профессиональную переподготовку, в общей численности занятого в экономике населения данной возрастной группы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38,50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38,</w:t>
            </w:r>
            <w:r w:rsidR="00A474FE" w:rsidRPr="00AE1C5C">
              <w:rPr>
                <w:rFonts w:eastAsia="Times New Roman"/>
                <w:sz w:val="20"/>
                <w:szCs w:val="20"/>
              </w:rPr>
              <w:t>6</w:t>
            </w:r>
            <w:r w:rsidRPr="00AE1C5C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38,</w:t>
            </w:r>
            <w:r w:rsidR="00A474FE" w:rsidRPr="00AE1C5C">
              <w:rPr>
                <w:rFonts w:eastAsia="Times New Roman"/>
                <w:sz w:val="20"/>
                <w:szCs w:val="20"/>
              </w:rPr>
              <w:t>6</w:t>
            </w:r>
            <w:r w:rsidRPr="00AE1C5C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AE1C5C" w:rsidTr="00FE63DB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Доля ОО СПО, здания которых приспособлены для обучения лиц с ограниченными возможностями здоровья, в общем числе соответствующих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</w:t>
            </w:r>
            <w:r w:rsidR="00A474FE" w:rsidRPr="00AE1C5C">
              <w:rPr>
                <w:rFonts w:eastAsia="Times New Roman"/>
                <w:sz w:val="20"/>
                <w:szCs w:val="20"/>
              </w:rPr>
              <w:t>5</w:t>
            </w:r>
            <w:r w:rsidRPr="00AE1C5C">
              <w:rPr>
                <w:rFonts w:eastAsia="Times New Roman"/>
                <w:sz w:val="20"/>
                <w:szCs w:val="20"/>
              </w:rPr>
              <w:t>,</w:t>
            </w:r>
            <w:r w:rsidR="00A474FE" w:rsidRPr="00AE1C5C">
              <w:rPr>
                <w:rFonts w:eastAsia="Times New Roman"/>
                <w:sz w:val="20"/>
                <w:szCs w:val="20"/>
              </w:rPr>
              <w:t>5</w:t>
            </w:r>
            <w:r w:rsidRPr="00AE1C5C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A474FE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20</w:t>
            </w:r>
            <w:r w:rsidR="00FE63DB" w:rsidRPr="00AE1C5C">
              <w:rPr>
                <w:rFonts w:eastAsia="Times New Roman"/>
                <w:sz w:val="20"/>
                <w:szCs w:val="20"/>
              </w:rPr>
              <w:t>,</w:t>
            </w:r>
            <w:r w:rsidRPr="00AE1C5C">
              <w:rPr>
                <w:rFonts w:eastAsia="Times New Roman"/>
                <w:sz w:val="20"/>
                <w:szCs w:val="20"/>
              </w:rPr>
              <w:t>7</w:t>
            </w:r>
            <w:r w:rsidR="00C57B4F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A474FE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20</w:t>
            </w:r>
            <w:r w:rsidR="00FE63DB" w:rsidRPr="00AE1C5C">
              <w:rPr>
                <w:rFonts w:eastAsia="Times New Roman"/>
                <w:sz w:val="20"/>
                <w:szCs w:val="20"/>
              </w:rPr>
              <w:t>,</w:t>
            </w:r>
            <w:r w:rsidRPr="00AE1C5C">
              <w:rPr>
                <w:rFonts w:eastAsia="Times New Roman"/>
                <w:sz w:val="20"/>
                <w:szCs w:val="20"/>
              </w:rPr>
              <w:t>7</w:t>
            </w:r>
            <w:r w:rsidR="00FE63DB" w:rsidRPr="00AE1C5C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340D37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AE1C5C" w:rsidTr="00637EBF">
        <w:trPr>
          <w:trHeight w:val="114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Доля ПОО и ОО ВО, внедривших новые программы, разработанные с участием работодателей по вводимым новым направлениям подготовки, профессиям и специальностям, в том числе из перечня ТОП-50, для целей реализации региональных требований к вариативной составляющей основных образовательных программ, и модели профессионального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AE1C5C" w:rsidTr="00637EBF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Доля ПОО, в финансировании которых участвуют предприятия-работодатели, в общей численности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89,00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89,00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89,00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AE1C5C" w:rsidTr="00637EBF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Доля инвалидов, принятых на обучение по программам среднего профессионального образования (по отношению к предыдущему году)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</w:t>
            </w:r>
            <w:r w:rsidR="00A474FE" w:rsidRPr="00AE1C5C">
              <w:rPr>
                <w:rFonts w:eastAsia="Times New Roman"/>
                <w:sz w:val="20"/>
                <w:szCs w:val="20"/>
              </w:rPr>
              <w:t>7</w:t>
            </w:r>
            <w:r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</w:t>
            </w:r>
            <w:r w:rsidR="00A474FE" w:rsidRPr="00AE1C5C">
              <w:rPr>
                <w:rFonts w:eastAsia="Times New Roman"/>
                <w:sz w:val="20"/>
                <w:szCs w:val="20"/>
              </w:rPr>
              <w:t>5</w:t>
            </w:r>
            <w:r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</w:t>
            </w:r>
            <w:r w:rsidR="00A474FE" w:rsidRPr="00AE1C5C">
              <w:rPr>
                <w:rFonts w:eastAsia="Times New Roman"/>
                <w:sz w:val="20"/>
                <w:szCs w:val="20"/>
              </w:rPr>
              <w:t>5</w:t>
            </w:r>
            <w:r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AE1C5C" w:rsidTr="00637EBF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5D314A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5D314A" w:rsidRDefault="00FE63DB" w:rsidP="00FE63DB">
            <w:pPr>
              <w:widowControl/>
              <w:rPr>
                <w:rFonts w:eastAsia="Times New Roman"/>
                <w:sz w:val="20"/>
                <w:szCs w:val="20"/>
                <w:highlight w:val="yellow"/>
              </w:rPr>
            </w:pP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5D314A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5D314A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>1,70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5D314A" w:rsidRDefault="002C4C7C" w:rsidP="00FE63DB">
            <w:pPr>
              <w:widowControl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>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5D314A" w:rsidRDefault="00A474FE" w:rsidP="00FE63DB">
            <w:pPr>
              <w:widowControl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>0</w:t>
            </w:r>
            <w:r w:rsidR="00FE63DB" w:rsidRPr="005D314A">
              <w:rPr>
                <w:rFonts w:eastAsia="Times New Roman"/>
                <w:sz w:val="20"/>
                <w:szCs w:val="20"/>
                <w:highlight w:val="yellow"/>
              </w:rPr>
              <w:t>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5D314A" w:rsidRDefault="002C4C7C" w:rsidP="00FE63DB">
            <w:pPr>
              <w:widowControl/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>10</w:t>
            </w:r>
            <w:r w:rsidR="005D314A" w:rsidRPr="005D314A">
              <w:rPr>
                <w:rFonts w:eastAsia="Times New Roman"/>
                <w:sz w:val="20"/>
                <w:szCs w:val="20"/>
                <w:highlight w:val="yellow"/>
              </w:rPr>
              <w:t>00</w:t>
            </w:r>
            <w:r w:rsidR="00FE63DB" w:rsidRPr="005D314A">
              <w:rPr>
                <w:rFonts w:eastAsia="Times New Roman"/>
                <w:sz w:val="20"/>
                <w:szCs w:val="20"/>
                <w:highlight w:val="yellow"/>
              </w:rPr>
              <w:t>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4A" w:rsidRPr="005D314A" w:rsidRDefault="005D314A" w:rsidP="005D314A">
            <w:pPr>
              <w:rPr>
                <w:rFonts w:eastAsia="Times New Roman"/>
                <w:sz w:val="20"/>
                <w:szCs w:val="20"/>
                <w:highlight w:val="yellow"/>
              </w:rPr>
            </w:pP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 xml:space="preserve">Индикаторы в </w:t>
            </w: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 xml:space="preserve">ГП </w:t>
            </w: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 xml:space="preserve">«Развитие образования Нижегородской области» были внесены в соответствии с показателями (индикаторами) </w:t>
            </w: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 xml:space="preserve">ГП </w:t>
            </w: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>«Доступная среда» на 2011-2020 годы в целях заключения соглашения о предоставлении субсидии из федерального бюджета бюджету Нижегородской области по созданию базовой профессиональной образовательной организации в 2017 году.</w:t>
            </w:r>
          </w:p>
          <w:p w:rsidR="005D314A" w:rsidRPr="005D314A" w:rsidRDefault="005D314A" w:rsidP="005D314A">
            <w:pPr>
              <w:rPr>
                <w:rFonts w:eastAsia="Times New Roman"/>
                <w:sz w:val="20"/>
                <w:szCs w:val="20"/>
                <w:highlight w:val="yellow"/>
              </w:rPr>
            </w:pP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>Плановые значения были закреплены в Соглашении между Нижегородской областью и Министерством просвещения Российской Федерации от 19 февраля 2017 года.</w:t>
            </w:r>
          </w:p>
          <w:p w:rsidR="00FE63DB" w:rsidRPr="00AE1C5C" w:rsidRDefault="005D314A" w:rsidP="005D314A">
            <w:pPr>
              <w:rPr>
                <w:rFonts w:eastAsia="Times New Roman"/>
                <w:sz w:val="20"/>
                <w:szCs w:val="20"/>
              </w:rPr>
            </w:pP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 xml:space="preserve">В настоящее время </w:t>
            </w: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 xml:space="preserve">ведется </w:t>
            </w: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>работа по внесению изменений в г</w:t>
            </w: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>осударственную программу «Развитие образования Нижегородской области»</w:t>
            </w:r>
            <w:r w:rsidRPr="005D314A">
              <w:rPr>
                <w:rFonts w:eastAsia="Times New Roman"/>
                <w:sz w:val="20"/>
                <w:szCs w:val="20"/>
                <w:highlight w:val="yellow"/>
              </w:rPr>
              <w:t>.</w:t>
            </w:r>
            <w:bookmarkStart w:id="0" w:name="_GoBack"/>
            <w:bookmarkEnd w:id="0"/>
          </w:p>
        </w:tc>
      </w:tr>
      <w:tr w:rsidR="00FE63DB" w:rsidRPr="00AE1C5C" w:rsidTr="00FE63D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FE63DB" w:rsidRPr="00AE1C5C" w:rsidTr="00FE63D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AE1C5C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FE63DB" w:rsidRPr="00AE1C5C" w:rsidTr="00FE63D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Количество созданных современных ресурсных центров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A474FE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30</w:t>
            </w:r>
            <w:r w:rsidR="00FE63DB"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3</w:t>
            </w:r>
            <w:r w:rsidR="00A474FE" w:rsidRPr="00AE1C5C">
              <w:rPr>
                <w:rFonts w:eastAsia="Times New Roman"/>
                <w:sz w:val="20"/>
                <w:szCs w:val="20"/>
              </w:rPr>
              <w:t>2</w:t>
            </w:r>
            <w:r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A474F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3</w:t>
            </w:r>
            <w:r w:rsidR="00A474FE" w:rsidRPr="00AE1C5C">
              <w:rPr>
                <w:rFonts w:eastAsia="Times New Roman"/>
                <w:sz w:val="20"/>
                <w:szCs w:val="20"/>
              </w:rPr>
              <w:t>2</w:t>
            </w:r>
            <w:r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AE1C5C" w:rsidTr="00637EBF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02A60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Численность выпускников образовательных организаций, реализующих программы среднего профессионального образования, продемонстрировавших уровень подготовки, соответствующий стандартам Ворлдскиллс Россия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A474FE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25</w:t>
            </w:r>
            <w:r w:rsidR="00FE63DB"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A474FE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165</w:t>
            </w:r>
            <w:r w:rsidR="00FE63DB"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A474FE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16</w:t>
            </w:r>
            <w:r w:rsidR="00FE63DB" w:rsidRPr="00AE1C5C">
              <w:rPr>
                <w:rFonts w:eastAsia="Times New Roman"/>
                <w:sz w:val="20"/>
                <w:szCs w:val="20"/>
              </w:rPr>
              <w:t>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AE1C5C" w:rsidTr="00637EBF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02A60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Количество специализированных центров компетенций, аккредитованных по стандартам Ворлдскиллс (нарастающим итогом)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штук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A474FE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4</w:t>
            </w:r>
            <w:r w:rsidR="00FE63DB"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A474FE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6</w:t>
            </w:r>
            <w:r w:rsidR="00FE63DB"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A474FE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6</w:t>
            </w:r>
            <w:r w:rsidR="00FE63DB"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AE1C5C" w:rsidTr="00637EBF">
        <w:trPr>
          <w:trHeight w:val="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02A60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AE1C5C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Количество многофункциональных центров прикладных квалификаций, осуществляющих обучение на базе среднего (полного) общего образования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287D87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</w:t>
            </w:r>
            <w:r w:rsidR="00FE63DB" w:rsidRPr="00AE1C5C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AE1C5C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A70564" w:rsidRPr="00AE1C5C" w:rsidTr="00637EBF">
        <w:trPr>
          <w:trHeight w:val="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64" w:rsidRPr="00AE1C5C" w:rsidRDefault="00A70564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564" w:rsidRPr="00AE1C5C" w:rsidRDefault="00A70564" w:rsidP="00637EBF">
            <w:pPr>
              <w:widowControl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Число мастерских, оснащенных современной материально-технической базой по одной из компетенций, накопительным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64" w:rsidRPr="00AE1C5C" w:rsidRDefault="00A70564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64" w:rsidRPr="00AE1C5C" w:rsidRDefault="00A70564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64" w:rsidRPr="00AE1C5C" w:rsidRDefault="00A70564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30,00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64" w:rsidRPr="00AE1C5C" w:rsidRDefault="00A70564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30,00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64" w:rsidRPr="00AE1C5C" w:rsidRDefault="00A70564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564" w:rsidRPr="00AE1C5C" w:rsidRDefault="00A70564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7D87" w:rsidRPr="00FE63DB" w:rsidTr="00637EBF">
        <w:trPr>
          <w:trHeight w:val="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87" w:rsidRPr="00AE1C5C" w:rsidRDefault="00287D87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87" w:rsidRPr="00AE1C5C" w:rsidRDefault="00287D87" w:rsidP="00637EBF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AE1C5C">
              <w:rPr>
                <w:sz w:val="20"/>
              </w:rPr>
              <w:t>Количество центров опережающей профессиональной подготовки накопительным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87" w:rsidRPr="00AE1C5C" w:rsidRDefault="00287D87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sz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87" w:rsidRPr="00AE1C5C" w:rsidRDefault="00287D87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87" w:rsidRPr="00AE1C5C" w:rsidRDefault="00287D87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87" w:rsidRPr="00AE1C5C" w:rsidRDefault="00287D87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87" w:rsidRPr="00AE1C5C" w:rsidRDefault="00287D87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87" w:rsidRPr="00AE1C5C" w:rsidRDefault="00287D87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1C5C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57505" w:rsidRPr="00FE63DB" w:rsidTr="00637EBF">
        <w:trPr>
          <w:trHeight w:val="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5" w:rsidRPr="00857505" w:rsidRDefault="00857505" w:rsidP="0085750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857505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505" w:rsidRPr="00857505" w:rsidRDefault="00857505" w:rsidP="0085750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857505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Число детей, охваченных деятельностью детских технопарков "Кванториум" (мобильных технопарков "Кванториум")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нарастающим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5" w:rsidRPr="00857505" w:rsidRDefault="00857505" w:rsidP="0085750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857505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тысяч 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5" w:rsidRPr="00857505" w:rsidRDefault="00857505" w:rsidP="0085750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857505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0,8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5" w:rsidRPr="00857505" w:rsidRDefault="00857505" w:rsidP="0085750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857505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2,4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5" w:rsidRPr="00857505" w:rsidRDefault="00857505" w:rsidP="0085750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857505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2,4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5" w:rsidRPr="00857505" w:rsidRDefault="00857505" w:rsidP="0085750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857505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505" w:rsidRPr="00694791" w:rsidRDefault="00857505" w:rsidP="0085750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57505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-</w:t>
            </w:r>
          </w:p>
        </w:tc>
      </w:tr>
    </w:tbl>
    <w:p w:rsidR="0070174E" w:rsidRDefault="0070174E"/>
    <w:sectPr w:rsidR="0070174E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B4F" w:rsidRDefault="00C57B4F" w:rsidP="00F6213F">
      <w:r>
        <w:separator/>
      </w:r>
    </w:p>
  </w:endnote>
  <w:endnote w:type="continuationSeparator" w:id="0">
    <w:p w:rsidR="00C57B4F" w:rsidRDefault="00C57B4F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B4F" w:rsidRDefault="00C57B4F" w:rsidP="00F6213F">
      <w:r>
        <w:separator/>
      </w:r>
    </w:p>
  </w:footnote>
  <w:footnote w:type="continuationSeparator" w:id="0">
    <w:p w:rsidR="00C57B4F" w:rsidRDefault="00C57B4F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C57B4F" w:rsidRPr="00F6213F" w:rsidRDefault="00C57B4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314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C57B4F" w:rsidRPr="00F6213F" w:rsidRDefault="00C57B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A00E8"/>
    <w:multiLevelType w:val="multilevel"/>
    <w:tmpl w:val="FBF69D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06A92FBA"/>
    <w:multiLevelType w:val="multilevel"/>
    <w:tmpl w:val="6714F8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 w15:restartNumberingAfterBreak="0">
    <w:nsid w:val="1522608A"/>
    <w:multiLevelType w:val="multilevel"/>
    <w:tmpl w:val="D60E623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16CB1DAC"/>
    <w:multiLevelType w:val="hybridMultilevel"/>
    <w:tmpl w:val="C13E0496"/>
    <w:lvl w:ilvl="0" w:tplc="1EFC286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4D258B"/>
    <w:multiLevelType w:val="hybridMultilevel"/>
    <w:tmpl w:val="2FB0EC98"/>
    <w:lvl w:ilvl="0" w:tplc="53E856EC">
      <w:start w:val="2022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DF47E1"/>
    <w:multiLevelType w:val="hybridMultilevel"/>
    <w:tmpl w:val="8E0E132A"/>
    <w:lvl w:ilvl="0" w:tplc="5B0439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D36F64"/>
    <w:multiLevelType w:val="multilevel"/>
    <w:tmpl w:val="190C6B5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307F3EEE"/>
    <w:multiLevelType w:val="hybridMultilevel"/>
    <w:tmpl w:val="4A749690"/>
    <w:lvl w:ilvl="0" w:tplc="3EDCE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0C95EBB"/>
    <w:multiLevelType w:val="multilevel"/>
    <w:tmpl w:val="1F58E60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9" w15:restartNumberingAfterBreak="0">
    <w:nsid w:val="36EC394B"/>
    <w:multiLevelType w:val="hybridMultilevel"/>
    <w:tmpl w:val="F528A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895714B"/>
    <w:multiLevelType w:val="hybridMultilevel"/>
    <w:tmpl w:val="F528A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557BF"/>
    <w:multiLevelType w:val="multilevel"/>
    <w:tmpl w:val="F9F831F4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13" w15:restartNumberingAfterBreak="0">
    <w:nsid w:val="54CE342B"/>
    <w:multiLevelType w:val="hybridMultilevel"/>
    <w:tmpl w:val="5C06D64A"/>
    <w:lvl w:ilvl="0" w:tplc="F540319A">
      <w:start w:val="9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55252910"/>
    <w:multiLevelType w:val="multilevel"/>
    <w:tmpl w:val="E4843024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5D7049B7"/>
    <w:multiLevelType w:val="multilevel"/>
    <w:tmpl w:val="CED8B856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7C133A98"/>
    <w:multiLevelType w:val="multilevel"/>
    <w:tmpl w:val="33F83F5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11"/>
  </w:num>
  <w:num w:numId="10">
    <w:abstractNumId w:val="0"/>
  </w:num>
  <w:num w:numId="11">
    <w:abstractNumId w:val="2"/>
  </w:num>
  <w:num w:numId="12">
    <w:abstractNumId w:val="1"/>
  </w:num>
  <w:num w:numId="13">
    <w:abstractNumId w:val="16"/>
  </w:num>
  <w:num w:numId="14">
    <w:abstractNumId w:val="14"/>
  </w:num>
  <w:num w:numId="15">
    <w:abstractNumId w:val="12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16BA8"/>
    <w:rsid w:val="0002758D"/>
    <w:rsid w:val="00031950"/>
    <w:rsid w:val="00041FD7"/>
    <w:rsid w:val="000450D1"/>
    <w:rsid w:val="00051404"/>
    <w:rsid w:val="000711FD"/>
    <w:rsid w:val="00080520"/>
    <w:rsid w:val="00087506"/>
    <w:rsid w:val="000C2D4D"/>
    <w:rsid w:val="000D47E5"/>
    <w:rsid w:val="000E0010"/>
    <w:rsid w:val="000F3C35"/>
    <w:rsid w:val="00102A0F"/>
    <w:rsid w:val="00131D82"/>
    <w:rsid w:val="00135A4A"/>
    <w:rsid w:val="00153BA8"/>
    <w:rsid w:val="00155E12"/>
    <w:rsid w:val="00187628"/>
    <w:rsid w:val="0019399D"/>
    <w:rsid w:val="0019618A"/>
    <w:rsid w:val="001A45A5"/>
    <w:rsid w:val="001B0618"/>
    <w:rsid w:val="001B1DE5"/>
    <w:rsid w:val="001C12F8"/>
    <w:rsid w:val="001C6F23"/>
    <w:rsid w:val="001D5897"/>
    <w:rsid w:val="002173C8"/>
    <w:rsid w:val="00253AFC"/>
    <w:rsid w:val="00257BA6"/>
    <w:rsid w:val="00262BC3"/>
    <w:rsid w:val="00287D87"/>
    <w:rsid w:val="002921A8"/>
    <w:rsid w:val="00294F02"/>
    <w:rsid w:val="002A227E"/>
    <w:rsid w:val="002C4C7C"/>
    <w:rsid w:val="002E2CB6"/>
    <w:rsid w:val="002E61D3"/>
    <w:rsid w:val="00306004"/>
    <w:rsid w:val="00310099"/>
    <w:rsid w:val="00313EC7"/>
    <w:rsid w:val="00315F7B"/>
    <w:rsid w:val="00340D37"/>
    <w:rsid w:val="00341D6C"/>
    <w:rsid w:val="003424C1"/>
    <w:rsid w:val="003453FF"/>
    <w:rsid w:val="00361AB1"/>
    <w:rsid w:val="0038027E"/>
    <w:rsid w:val="003927E9"/>
    <w:rsid w:val="003A778A"/>
    <w:rsid w:val="003C3C9A"/>
    <w:rsid w:val="003D02D5"/>
    <w:rsid w:val="0040575D"/>
    <w:rsid w:val="00421829"/>
    <w:rsid w:val="00423EE1"/>
    <w:rsid w:val="0042542E"/>
    <w:rsid w:val="00434945"/>
    <w:rsid w:val="0044422F"/>
    <w:rsid w:val="0045513F"/>
    <w:rsid w:val="00456301"/>
    <w:rsid w:val="00463745"/>
    <w:rsid w:val="00471DAA"/>
    <w:rsid w:val="0047602C"/>
    <w:rsid w:val="00492CAE"/>
    <w:rsid w:val="004A7A65"/>
    <w:rsid w:val="004B3F2E"/>
    <w:rsid w:val="004C6E5F"/>
    <w:rsid w:val="004D2696"/>
    <w:rsid w:val="004D2910"/>
    <w:rsid w:val="004F036C"/>
    <w:rsid w:val="005045B5"/>
    <w:rsid w:val="0052132C"/>
    <w:rsid w:val="0052347F"/>
    <w:rsid w:val="005341CC"/>
    <w:rsid w:val="00543BBF"/>
    <w:rsid w:val="00550531"/>
    <w:rsid w:val="00561203"/>
    <w:rsid w:val="00567B9F"/>
    <w:rsid w:val="00583A58"/>
    <w:rsid w:val="005840A8"/>
    <w:rsid w:val="00586F5C"/>
    <w:rsid w:val="005952DC"/>
    <w:rsid w:val="005B1DD3"/>
    <w:rsid w:val="005B57C7"/>
    <w:rsid w:val="005C2F57"/>
    <w:rsid w:val="005D314A"/>
    <w:rsid w:val="005D3B7B"/>
    <w:rsid w:val="005D59EC"/>
    <w:rsid w:val="005D7F2B"/>
    <w:rsid w:val="005E124E"/>
    <w:rsid w:val="005E3733"/>
    <w:rsid w:val="005F267C"/>
    <w:rsid w:val="005F528C"/>
    <w:rsid w:val="005F5DCC"/>
    <w:rsid w:val="00605436"/>
    <w:rsid w:val="00613B20"/>
    <w:rsid w:val="00631965"/>
    <w:rsid w:val="00635C85"/>
    <w:rsid w:val="00637EBF"/>
    <w:rsid w:val="006978F5"/>
    <w:rsid w:val="006C2CA7"/>
    <w:rsid w:val="006D0DB3"/>
    <w:rsid w:val="006F5B19"/>
    <w:rsid w:val="00700E4F"/>
    <w:rsid w:val="0070174E"/>
    <w:rsid w:val="00706FAB"/>
    <w:rsid w:val="00707550"/>
    <w:rsid w:val="00712F19"/>
    <w:rsid w:val="00717BDE"/>
    <w:rsid w:val="007232BE"/>
    <w:rsid w:val="00727CAC"/>
    <w:rsid w:val="007435C4"/>
    <w:rsid w:val="00744969"/>
    <w:rsid w:val="00745AB6"/>
    <w:rsid w:val="00752637"/>
    <w:rsid w:val="00754365"/>
    <w:rsid w:val="00754811"/>
    <w:rsid w:val="007550F1"/>
    <w:rsid w:val="00766FB0"/>
    <w:rsid w:val="00767728"/>
    <w:rsid w:val="007B20AA"/>
    <w:rsid w:val="007C0B53"/>
    <w:rsid w:val="007F5E05"/>
    <w:rsid w:val="007F798D"/>
    <w:rsid w:val="008101CB"/>
    <w:rsid w:val="00812F37"/>
    <w:rsid w:val="00824017"/>
    <w:rsid w:val="00827574"/>
    <w:rsid w:val="008327EC"/>
    <w:rsid w:val="00857505"/>
    <w:rsid w:val="008632BD"/>
    <w:rsid w:val="008711A2"/>
    <w:rsid w:val="008A0A46"/>
    <w:rsid w:val="008A32B8"/>
    <w:rsid w:val="008A6121"/>
    <w:rsid w:val="008A7228"/>
    <w:rsid w:val="008D1A09"/>
    <w:rsid w:val="008F39C3"/>
    <w:rsid w:val="0093629C"/>
    <w:rsid w:val="00947CCF"/>
    <w:rsid w:val="009674D6"/>
    <w:rsid w:val="00984880"/>
    <w:rsid w:val="009B0FE7"/>
    <w:rsid w:val="009C15E4"/>
    <w:rsid w:val="009D2EAB"/>
    <w:rsid w:val="009D60E9"/>
    <w:rsid w:val="009E4CB3"/>
    <w:rsid w:val="009F2660"/>
    <w:rsid w:val="009F3AB4"/>
    <w:rsid w:val="00A20340"/>
    <w:rsid w:val="00A3155C"/>
    <w:rsid w:val="00A36164"/>
    <w:rsid w:val="00A37ABA"/>
    <w:rsid w:val="00A41FBA"/>
    <w:rsid w:val="00A474FE"/>
    <w:rsid w:val="00A70564"/>
    <w:rsid w:val="00A90EEF"/>
    <w:rsid w:val="00AA17EB"/>
    <w:rsid w:val="00AA3291"/>
    <w:rsid w:val="00AA7C4F"/>
    <w:rsid w:val="00AB1D7D"/>
    <w:rsid w:val="00AC0C25"/>
    <w:rsid w:val="00AC266B"/>
    <w:rsid w:val="00AC3C04"/>
    <w:rsid w:val="00AC7325"/>
    <w:rsid w:val="00AE14C2"/>
    <w:rsid w:val="00AE1C5C"/>
    <w:rsid w:val="00AE35C7"/>
    <w:rsid w:val="00B073CC"/>
    <w:rsid w:val="00B62CA2"/>
    <w:rsid w:val="00B70358"/>
    <w:rsid w:val="00BA3641"/>
    <w:rsid w:val="00BE43EB"/>
    <w:rsid w:val="00C050E7"/>
    <w:rsid w:val="00C20F8E"/>
    <w:rsid w:val="00C32135"/>
    <w:rsid w:val="00C34AE3"/>
    <w:rsid w:val="00C4736B"/>
    <w:rsid w:val="00C57B4F"/>
    <w:rsid w:val="00C72CD7"/>
    <w:rsid w:val="00C74E7D"/>
    <w:rsid w:val="00C92C23"/>
    <w:rsid w:val="00CB3632"/>
    <w:rsid w:val="00D00157"/>
    <w:rsid w:val="00D05224"/>
    <w:rsid w:val="00D16524"/>
    <w:rsid w:val="00D1685A"/>
    <w:rsid w:val="00D2331B"/>
    <w:rsid w:val="00D37566"/>
    <w:rsid w:val="00DA77D3"/>
    <w:rsid w:val="00DB6608"/>
    <w:rsid w:val="00DD4BCE"/>
    <w:rsid w:val="00DE04DB"/>
    <w:rsid w:val="00DE78A9"/>
    <w:rsid w:val="00E10191"/>
    <w:rsid w:val="00E119DC"/>
    <w:rsid w:val="00E16F65"/>
    <w:rsid w:val="00E17FC0"/>
    <w:rsid w:val="00E27187"/>
    <w:rsid w:val="00E340DC"/>
    <w:rsid w:val="00E356FC"/>
    <w:rsid w:val="00E4357C"/>
    <w:rsid w:val="00E53433"/>
    <w:rsid w:val="00E55814"/>
    <w:rsid w:val="00E7545C"/>
    <w:rsid w:val="00E8055D"/>
    <w:rsid w:val="00EB18C0"/>
    <w:rsid w:val="00ED24A9"/>
    <w:rsid w:val="00EE519E"/>
    <w:rsid w:val="00EF55C1"/>
    <w:rsid w:val="00F02A60"/>
    <w:rsid w:val="00F56B72"/>
    <w:rsid w:val="00F60E74"/>
    <w:rsid w:val="00F6213F"/>
    <w:rsid w:val="00F7089A"/>
    <w:rsid w:val="00F96187"/>
    <w:rsid w:val="00FA5C0F"/>
    <w:rsid w:val="00FB116B"/>
    <w:rsid w:val="00FC1083"/>
    <w:rsid w:val="00FC4CFA"/>
    <w:rsid w:val="00FE25D8"/>
    <w:rsid w:val="00FE322E"/>
    <w:rsid w:val="00FE63DB"/>
    <w:rsid w:val="00FF32A8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D14E9-B32D-446B-B239-B5E291953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7574"/>
    <w:pPr>
      <w:keepNext/>
      <w:widowControl/>
      <w:jc w:val="both"/>
      <w:outlineLvl w:val="0"/>
    </w:pPr>
    <w:rPr>
      <w:rFonts w:eastAsia="Times New Roman"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3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character" w:customStyle="1" w:styleId="ad">
    <w:name w:val="Текст сноски Знак"/>
    <w:basedOn w:val="a0"/>
    <w:link w:val="ae"/>
    <w:uiPriority w:val="99"/>
    <w:rsid w:val="003C3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d"/>
    <w:uiPriority w:val="99"/>
    <w:rsid w:val="003C3C9A"/>
    <w:pPr>
      <w:widowControl/>
      <w:spacing w:line="360" w:lineRule="atLeast"/>
      <w:jc w:val="both"/>
    </w:pPr>
    <w:rPr>
      <w:rFonts w:eastAsia="Times New Roman"/>
      <w:color w:val="auto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3C3C9A"/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3C3C9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3C3C9A"/>
    <w:pPr>
      <w:widowControl/>
      <w:jc w:val="both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3C3C9A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3C3C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3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3C3C9A"/>
  </w:style>
  <w:style w:type="numbering" w:customStyle="1" w:styleId="2">
    <w:name w:val="Нет списка2"/>
    <w:next w:val="a2"/>
    <w:uiPriority w:val="99"/>
    <w:semiHidden/>
    <w:unhideWhenUsed/>
    <w:rsid w:val="003C3C9A"/>
  </w:style>
  <w:style w:type="table" w:customStyle="1" w:styleId="15">
    <w:name w:val="Сетка таблицы1"/>
    <w:basedOn w:val="a1"/>
    <w:uiPriority w:val="59"/>
    <w:rsid w:val="003C3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275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">
    <w:name w:val="Знак4"/>
    <w:basedOn w:val="a"/>
    <w:rsid w:val="00827574"/>
    <w:pPr>
      <w:widowControl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af1">
    <w:name w:val="Нормальный"/>
    <w:uiPriority w:val="99"/>
    <w:rsid w:val="00827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2">
    <w:name w:val="page number"/>
    <w:basedOn w:val="a0"/>
    <w:uiPriority w:val="99"/>
    <w:rsid w:val="00827574"/>
  </w:style>
  <w:style w:type="paragraph" w:styleId="af3">
    <w:name w:val="List Paragraph"/>
    <w:basedOn w:val="a"/>
    <w:uiPriority w:val="34"/>
    <w:qFormat/>
    <w:rsid w:val="00827574"/>
    <w:pPr>
      <w:widowControl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character" w:customStyle="1" w:styleId="WW-21">
    <w:name w:val="WW-Основной текст (2)1"/>
    <w:rsid w:val="0082757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paragraph" w:customStyle="1" w:styleId="16">
    <w:name w:val="Стиль1"/>
    <w:basedOn w:val="a"/>
    <w:link w:val="17"/>
    <w:qFormat/>
    <w:rsid w:val="00827574"/>
    <w:pPr>
      <w:widowControl/>
      <w:spacing w:line="360" w:lineRule="auto"/>
      <w:ind w:right="-1" w:firstLine="720"/>
      <w:jc w:val="both"/>
    </w:pPr>
    <w:rPr>
      <w:rFonts w:eastAsia="Times New Roman"/>
      <w:color w:val="auto"/>
      <w:sz w:val="28"/>
      <w:szCs w:val="28"/>
    </w:rPr>
  </w:style>
  <w:style w:type="character" w:customStyle="1" w:styleId="17">
    <w:name w:val="Стиль1 Знак"/>
    <w:link w:val="16"/>
    <w:rsid w:val="008275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275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275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4">
    <w:name w:val="Body Text"/>
    <w:basedOn w:val="a"/>
    <w:link w:val="af5"/>
    <w:rsid w:val="00827574"/>
    <w:pPr>
      <w:widowControl/>
      <w:spacing w:after="240" w:line="240" w:lineRule="atLeast"/>
      <w:ind w:firstLine="360"/>
      <w:jc w:val="both"/>
    </w:pPr>
    <w:rPr>
      <w:rFonts w:ascii="Garamond" w:eastAsia="Times New Roman" w:hAnsi="Garamond"/>
      <w:color w:val="auto"/>
      <w:sz w:val="22"/>
      <w:szCs w:val="20"/>
      <w:lang w:eastAsia="en-US"/>
    </w:rPr>
  </w:style>
  <w:style w:type="character" w:customStyle="1" w:styleId="af5">
    <w:name w:val="Основной текст Знак"/>
    <w:basedOn w:val="a0"/>
    <w:link w:val="af4"/>
    <w:rsid w:val="00827574"/>
    <w:rPr>
      <w:rFonts w:ascii="Garamond" w:eastAsia="Times New Roman" w:hAnsi="Garamond" w:cs="Times New Roman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827574"/>
  </w:style>
  <w:style w:type="paragraph" w:styleId="af6">
    <w:name w:val="Document Map"/>
    <w:basedOn w:val="a"/>
    <w:link w:val="af7"/>
    <w:rsid w:val="00827574"/>
    <w:pPr>
      <w:widowControl/>
    </w:pPr>
    <w:rPr>
      <w:rFonts w:ascii="Tahoma" w:eastAsia="Times New Roman" w:hAnsi="Tahoma" w:cs="Tahoma"/>
      <w:color w:val="auto"/>
      <w:sz w:val="16"/>
      <w:szCs w:val="16"/>
    </w:rPr>
  </w:style>
  <w:style w:type="character" w:customStyle="1" w:styleId="af7">
    <w:name w:val="Схема документа Знак"/>
    <w:basedOn w:val="a0"/>
    <w:link w:val="af6"/>
    <w:rsid w:val="0082757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40">
    <w:name w:val="Нет списка4"/>
    <w:next w:val="a2"/>
    <w:uiPriority w:val="99"/>
    <w:semiHidden/>
    <w:unhideWhenUsed/>
    <w:rsid w:val="00827574"/>
  </w:style>
  <w:style w:type="numbering" w:customStyle="1" w:styleId="5">
    <w:name w:val="Нет списка5"/>
    <w:next w:val="a2"/>
    <w:uiPriority w:val="99"/>
    <w:semiHidden/>
    <w:unhideWhenUsed/>
    <w:rsid w:val="00827574"/>
  </w:style>
  <w:style w:type="numbering" w:customStyle="1" w:styleId="6">
    <w:name w:val="Нет списка6"/>
    <w:next w:val="a2"/>
    <w:uiPriority w:val="99"/>
    <w:semiHidden/>
    <w:unhideWhenUsed/>
    <w:rsid w:val="00827574"/>
  </w:style>
  <w:style w:type="numbering" w:customStyle="1" w:styleId="7">
    <w:name w:val="Нет списка7"/>
    <w:next w:val="a2"/>
    <w:uiPriority w:val="99"/>
    <w:semiHidden/>
    <w:unhideWhenUsed/>
    <w:rsid w:val="00827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22</Pages>
  <Words>6207</Words>
  <Characters>35381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Шмелёв</dc:creator>
  <cp:keywords/>
  <dc:description/>
  <cp:lastModifiedBy>Дарья Шутова</cp:lastModifiedBy>
  <cp:revision>190</cp:revision>
  <cp:lastPrinted>2020-04-14T12:09:00Z</cp:lastPrinted>
  <dcterms:created xsi:type="dcterms:W3CDTF">2019-04-03T13:26:00Z</dcterms:created>
  <dcterms:modified xsi:type="dcterms:W3CDTF">2020-04-15T08:19:00Z</dcterms:modified>
</cp:coreProperties>
</file>